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4C" w:rsidRPr="00AB148C" w:rsidRDefault="0061005F" w:rsidP="00AB148C">
      <w:pPr>
        <w:spacing w:line="356" w:lineRule="auto"/>
        <w:ind w:left="260" w:firstLine="283"/>
        <w:jc w:val="center"/>
        <w:rPr>
          <w:b/>
          <w:sz w:val="20"/>
          <w:szCs w:val="20"/>
        </w:rPr>
      </w:pPr>
      <w:r w:rsidRPr="00AB148C">
        <w:rPr>
          <w:rFonts w:eastAsia="Times New Roman"/>
          <w:b/>
          <w:i/>
          <w:iCs/>
          <w:sz w:val="24"/>
          <w:szCs w:val="24"/>
        </w:rPr>
        <w:t xml:space="preserve">Информация о мероприятиях, направленных на привлечение молодых педагогов для работы в дошкольном и общем образовании с учетом внедрения профессионального стандарта «Педагог» (педагогическая деятельность в сфере дошкольного, начального общего, основного </w:t>
      </w:r>
      <w:r w:rsidRPr="00AB148C">
        <w:rPr>
          <w:rFonts w:eastAsia="Times New Roman"/>
          <w:b/>
          <w:i/>
          <w:iCs/>
          <w:sz w:val="24"/>
          <w:szCs w:val="24"/>
        </w:rPr>
        <w:t>общего, среднего общего образования (воспитатель, учитель)»</w:t>
      </w:r>
    </w:p>
    <w:p w:rsidR="007C184C" w:rsidRDefault="007C184C">
      <w:pPr>
        <w:spacing w:line="200" w:lineRule="exact"/>
        <w:rPr>
          <w:sz w:val="24"/>
          <w:szCs w:val="24"/>
        </w:rPr>
      </w:pPr>
    </w:p>
    <w:p w:rsidR="007C184C" w:rsidRDefault="007C184C">
      <w:pPr>
        <w:spacing w:line="305" w:lineRule="exact"/>
        <w:rPr>
          <w:sz w:val="24"/>
          <w:szCs w:val="24"/>
        </w:rPr>
      </w:pPr>
    </w:p>
    <w:p w:rsidR="007C184C" w:rsidRDefault="0061005F">
      <w:pPr>
        <w:numPr>
          <w:ilvl w:val="0"/>
          <w:numId w:val="1"/>
        </w:numPr>
        <w:tabs>
          <w:tab w:val="left" w:pos="129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условиях динамики, сложности и высокого темпа инновационных процессов в </w:t>
      </w:r>
      <w:r>
        <w:rPr>
          <w:rFonts w:eastAsia="Times New Roman"/>
          <w:sz w:val="28"/>
          <w:szCs w:val="28"/>
        </w:rPr>
        <w:t>образовании</w:t>
      </w:r>
      <w:r w:rsidR="00AB148C">
        <w:rPr>
          <w:rFonts w:eastAsia="Times New Roman"/>
          <w:sz w:val="28"/>
          <w:szCs w:val="28"/>
        </w:rPr>
        <w:t xml:space="preserve"> Республики </w:t>
      </w:r>
      <w:proofErr w:type="gramStart"/>
      <w:r w:rsidR="00AB148C">
        <w:rPr>
          <w:rFonts w:eastAsia="Times New Roman"/>
          <w:sz w:val="28"/>
          <w:szCs w:val="28"/>
        </w:rPr>
        <w:t>Ингушетия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отвечая на современные вызовы и цели государственной политики в сфере образо</w:t>
      </w:r>
      <w:r>
        <w:rPr>
          <w:rFonts w:eastAsia="Times New Roman"/>
          <w:sz w:val="28"/>
          <w:szCs w:val="28"/>
        </w:rPr>
        <w:t>вания, регламентированные Указом Президента Российский Федерации В.В. Путина «О национальных целях и стратегических задачах развития Российской Федерации на период до 2024 года», определяет развитие единого</w:t>
      </w:r>
    </w:p>
    <w:p w:rsidR="007C184C" w:rsidRDefault="007C184C">
      <w:pPr>
        <w:spacing w:line="16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регионального образовательного пространства непр</w:t>
      </w:r>
      <w:r>
        <w:rPr>
          <w:rFonts w:eastAsia="Times New Roman"/>
          <w:sz w:val="28"/>
          <w:szCs w:val="28"/>
        </w:rPr>
        <w:t>ерывного профессионального роста педагогических и управленческих кадров как приоритетную целевую установку. Особое значение приобретает этап «входа» в педагогическую профессию, работа с молодыми учителями и работниками дошкольных образовательных организаци</w:t>
      </w:r>
      <w:r>
        <w:rPr>
          <w:rFonts w:eastAsia="Times New Roman"/>
          <w:sz w:val="28"/>
          <w:szCs w:val="28"/>
        </w:rPr>
        <w:t>й как с важнейшей составляющей кадрового ресурса региональной системы образования.</w:t>
      </w:r>
    </w:p>
    <w:p w:rsidR="007C184C" w:rsidRDefault="007C184C">
      <w:pPr>
        <w:spacing w:line="16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</w:t>
      </w:r>
      <w:r w:rsidR="00AB148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У ДПО </w:t>
      </w:r>
      <w:r w:rsidR="00AB148C">
        <w:rPr>
          <w:rFonts w:eastAsia="Times New Roman"/>
          <w:sz w:val="28"/>
          <w:szCs w:val="28"/>
        </w:rPr>
        <w:t xml:space="preserve">ИПКРО РИ </w:t>
      </w:r>
      <w:r>
        <w:rPr>
          <w:rFonts w:eastAsia="Times New Roman"/>
          <w:sz w:val="28"/>
          <w:szCs w:val="28"/>
        </w:rPr>
        <w:t xml:space="preserve">(далее Институт) как интегратор инновационных процессов в области развития кадрового ресурса сферы образования </w:t>
      </w:r>
      <w:r w:rsidR="00AB148C">
        <w:rPr>
          <w:rFonts w:eastAsia="Times New Roman"/>
          <w:sz w:val="28"/>
          <w:szCs w:val="28"/>
        </w:rPr>
        <w:t>Республики Ингушетия</w:t>
      </w:r>
      <w:r>
        <w:rPr>
          <w:rFonts w:eastAsia="Times New Roman"/>
          <w:sz w:val="28"/>
          <w:szCs w:val="28"/>
        </w:rPr>
        <w:t xml:space="preserve"> в процессе осуществ</w:t>
      </w:r>
      <w:r>
        <w:rPr>
          <w:rFonts w:eastAsia="Times New Roman"/>
          <w:sz w:val="28"/>
          <w:szCs w:val="28"/>
        </w:rPr>
        <w:t>ления «Комплексной программы повышения профессионального уровня педагогических работников общеобр</w:t>
      </w:r>
      <w:r w:rsidR="00AB148C">
        <w:rPr>
          <w:rFonts w:eastAsia="Times New Roman"/>
          <w:sz w:val="28"/>
          <w:szCs w:val="28"/>
        </w:rPr>
        <w:t>азовательных организаций» в 2019-2020 гг. будет реализовыва</w:t>
      </w:r>
      <w:r>
        <w:rPr>
          <w:rFonts w:eastAsia="Times New Roman"/>
          <w:sz w:val="28"/>
          <w:szCs w:val="28"/>
        </w:rPr>
        <w:t>т</w:t>
      </w:r>
      <w:r w:rsidR="00AB148C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несколько направлений поддержки и сопровождения профессионального роста молодых педагогических работников дошкол</w:t>
      </w:r>
      <w:r>
        <w:rPr>
          <w:rFonts w:eastAsia="Times New Roman"/>
          <w:sz w:val="28"/>
          <w:szCs w:val="28"/>
        </w:rPr>
        <w:t xml:space="preserve">ьного и общего образования </w:t>
      </w:r>
      <w:r w:rsidR="00AB148C">
        <w:rPr>
          <w:rFonts w:eastAsia="Times New Roman"/>
          <w:sz w:val="28"/>
          <w:szCs w:val="28"/>
        </w:rPr>
        <w:t>Республики Ингушетия</w:t>
      </w:r>
      <w:r>
        <w:rPr>
          <w:rFonts w:eastAsia="Times New Roman"/>
          <w:sz w:val="28"/>
          <w:szCs w:val="28"/>
        </w:rPr>
        <w:t>:</w:t>
      </w:r>
    </w:p>
    <w:p w:rsidR="007C184C" w:rsidRDefault="007C184C">
      <w:pPr>
        <w:spacing w:line="21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организационно-деятельностное сопровождение развития педагогического сообщества молодых учителей и работников дошкольных образовательных организаций </w:t>
      </w:r>
      <w:r w:rsidR="00AB148C">
        <w:rPr>
          <w:rFonts w:eastAsia="Times New Roman"/>
          <w:sz w:val="28"/>
          <w:szCs w:val="28"/>
        </w:rPr>
        <w:t>региона</w:t>
      </w:r>
      <w:r>
        <w:rPr>
          <w:rFonts w:eastAsia="Times New Roman"/>
          <w:sz w:val="28"/>
          <w:szCs w:val="28"/>
        </w:rPr>
        <w:t xml:space="preserve"> (конкурсное движение, фестивали, форумы, сетевые сообщ</w:t>
      </w:r>
      <w:r>
        <w:rPr>
          <w:rFonts w:eastAsia="Times New Roman"/>
          <w:sz w:val="28"/>
          <w:szCs w:val="28"/>
        </w:rPr>
        <w:t>ества, семинары, вебинары);</w:t>
      </w:r>
    </w:p>
    <w:p w:rsidR="007C184C" w:rsidRDefault="007C184C">
      <w:pPr>
        <w:spacing w:line="14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научно-методическая поддержка молодых педагогов по совершенствованию трудовых функций, обозначенных в профессиональных</w:t>
      </w:r>
    </w:p>
    <w:p w:rsidR="007C184C" w:rsidRDefault="007C184C">
      <w:pPr>
        <w:spacing w:line="15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стандартах (реализация программы повышения квалификации «Педагогическое сопровождение компетентностного раз</w:t>
      </w:r>
      <w:r>
        <w:rPr>
          <w:rFonts w:eastAsia="Times New Roman"/>
          <w:sz w:val="28"/>
          <w:szCs w:val="28"/>
        </w:rPr>
        <w:t>вития молодых педагогов в условиях реализации ФГОС и профессионального стандарта «Педагог»», кадровый аудит и консалтинг педагогических и управленческих кадров по вопросам квалификационных требований, регламентированных профессиональными стандартами);</w:t>
      </w:r>
    </w:p>
    <w:p w:rsidR="007C184C" w:rsidRDefault="007C184C">
      <w:pPr>
        <w:spacing w:line="16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консультационная работа по </w:t>
      </w:r>
      <w:r w:rsidR="00AB148C">
        <w:rPr>
          <w:rFonts w:eastAsia="Times New Roman"/>
          <w:sz w:val="28"/>
          <w:szCs w:val="28"/>
        </w:rPr>
        <w:t>формированию</w:t>
      </w:r>
      <w:r>
        <w:rPr>
          <w:rFonts w:eastAsia="Times New Roman"/>
          <w:sz w:val="28"/>
          <w:szCs w:val="28"/>
        </w:rPr>
        <w:t xml:space="preserve"> Национальной системы учительского роста (семинары, вебинары, круглые столы, консультации);</w:t>
      </w:r>
    </w:p>
    <w:p w:rsidR="007C184C" w:rsidRDefault="007C184C">
      <w:pPr>
        <w:spacing w:line="14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мониторинговые исследования условий профессионального становления молодых педагогов </w:t>
      </w:r>
      <w:r>
        <w:rPr>
          <w:rFonts w:eastAsia="Times New Roman"/>
          <w:sz w:val="28"/>
          <w:szCs w:val="28"/>
        </w:rPr>
        <w:t xml:space="preserve">в образовательной среде </w:t>
      </w:r>
      <w:r w:rsidR="00AB148C">
        <w:rPr>
          <w:rFonts w:eastAsia="Times New Roman"/>
          <w:sz w:val="28"/>
          <w:szCs w:val="28"/>
        </w:rPr>
        <w:t>республики</w:t>
      </w:r>
      <w:r>
        <w:rPr>
          <w:rFonts w:eastAsia="Times New Roman"/>
          <w:sz w:val="28"/>
          <w:szCs w:val="28"/>
        </w:rPr>
        <w:t xml:space="preserve"> (мониторинг качества системы ДПО на основе анализа динамики развития</w:t>
      </w:r>
    </w:p>
    <w:p w:rsidR="007C184C" w:rsidRDefault="007C184C">
      <w:pPr>
        <w:sectPr w:rsidR="007C184C">
          <w:pgSz w:w="11900" w:h="16838"/>
          <w:pgMar w:top="1137" w:right="846" w:bottom="774" w:left="1440" w:header="0" w:footer="0" w:gutter="0"/>
          <w:cols w:space="720" w:equalWidth="0">
            <w:col w:w="9620"/>
          </w:cols>
        </w:sectPr>
      </w:pPr>
    </w:p>
    <w:p w:rsidR="007C184C" w:rsidRDefault="0061005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профессиональных компетенций участников ПК и методических активностей, организованных Институтом, анализ результатов итого</w:t>
      </w:r>
      <w:r>
        <w:rPr>
          <w:rFonts w:eastAsia="Times New Roman"/>
          <w:sz w:val="28"/>
          <w:szCs w:val="28"/>
        </w:rPr>
        <w:t>вой аттестации молодых педагогов по освоению программ повышения квалификации);</w:t>
      </w:r>
    </w:p>
    <w:p w:rsidR="007C184C" w:rsidRDefault="007C184C">
      <w:pPr>
        <w:spacing w:line="17" w:lineRule="exact"/>
        <w:rPr>
          <w:sz w:val="20"/>
          <w:szCs w:val="20"/>
        </w:rPr>
      </w:pPr>
    </w:p>
    <w:p w:rsidR="007C184C" w:rsidRDefault="0061005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институционализация региональной системы поддержки молодых педагогов посредством реализации целевой программы </w:t>
      </w:r>
      <w:r w:rsidR="00AB148C">
        <w:rPr>
          <w:rFonts w:eastAsia="Times New Roman"/>
          <w:sz w:val="28"/>
          <w:szCs w:val="28"/>
        </w:rPr>
        <w:t>«Школа молодого учителя». В 2019-2020</w:t>
      </w:r>
      <w:r>
        <w:rPr>
          <w:rFonts w:eastAsia="Times New Roman"/>
          <w:sz w:val="28"/>
          <w:szCs w:val="28"/>
        </w:rPr>
        <w:t xml:space="preserve"> учебном году проект «Школа молодо</w:t>
      </w:r>
      <w:r>
        <w:rPr>
          <w:rFonts w:eastAsia="Times New Roman"/>
          <w:sz w:val="28"/>
          <w:szCs w:val="28"/>
        </w:rPr>
        <w:t xml:space="preserve">го учителя» </w:t>
      </w:r>
      <w:r w:rsidR="00AB148C">
        <w:rPr>
          <w:rFonts w:eastAsia="Times New Roman"/>
          <w:sz w:val="28"/>
          <w:szCs w:val="28"/>
        </w:rPr>
        <w:t>получит</w:t>
      </w:r>
      <w:r>
        <w:rPr>
          <w:rFonts w:eastAsia="Times New Roman"/>
          <w:sz w:val="28"/>
          <w:szCs w:val="28"/>
        </w:rPr>
        <w:t xml:space="preserve"> </w:t>
      </w:r>
      <w:r w:rsidR="00AB148C">
        <w:rPr>
          <w:rFonts w:eastAsia="Times New Roman"/>
          <w:sz w:val="28"/>
          <w:szCs w:val="28"/>
        </w:rPr>
        <w:t xml:space="preserve">перспективное развитие </w:t>
      </w:r>
      <w:proofErr w:type="gramStart"/>
      <w:r w:rsidR="00AB148C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 «</w:t>
      </w:r>
      <w:proofErr w:type="gramEnd"/>
      <w:r>
        <w:rPr>
          <w:rFonts w:eastAsia="Times New Roman"/>
          <w:sz w:val="28"/>
          <w:szCs w:val="28"/>
        </w:rPr>
        <w:t xml:space="preserve">Школа молодого учителя в пространстве национальной системы учительского роста». </w:t>
      </w:r>
    </w:p>
    <w:p w:rsidR="007C184C" w:rsidRDefault="007C184C">
      <w:pPr>
        <w:spacing w:line="26" w:lineRule="exact"/>
        <w:rPr>
          <w:sz w:val="20"/>
          <w:szCs w:val="20"/>
        </w:rPr>
      </w:pPr>
    </w:p>
    <w:p w:rsidR="007C184C" w:rsidRDefault="00AB148C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</w:t>
      </w:r>
      <w:r w:rsidR="0061005F">
        <w:rPr>
          <w:rFonts w:eastAsia="Times New Roman"/>
          <w:sz w:val="28"/>
          <w:szCs w:val="28"/>
        </w:rPr>
        <w:t>езультаты</w:t>
      </w:r>
      <w:r>
        <w:rPr>
          <w:rFonts w:eastAsia="Times New Roman"/>
          <w:sz w:val="28"/>
          <w:szCs w:val="28"/>
        </w:rPr>
        <w:t xml:space="preserve"> </w:t>
      </w:r>
      <w:r w:rsidR="0061005F">
        <w:rPr>
          <w:rFonts w:eastAsia="Times New Roman"/>
          <w:sz w:val="28"/>
          <w:szCs w:val="28"/>
        </w:rPr>
        <w:t xml:space="preserve"> наиболее</w:t>
      </w:r>
      <w:proofErr w:type="gramEnd"/>
      <w:r w:rsidR="0061005F">
        <w:rPr>
          <w:rFonts w:eastAsia="Times New Roman"/>
          <w:sz w:val="28"/>
          <w:szCs w:val="28"/>
        </w:rPr>
        <w:t xml:space="preserve"> актуальных мероприятий по реализации данных направлений в систе</w:t>
      </w:r>
      <w:r>
        <w:rPr>
          <w:rFonts w:eastAsia="Times New Roman"/>
          <w:sz w:val="28"/>
          <w:szCs w:val="28"/>
        </w:rPr>
        <w:t>ме деятельности Института в 2019-2020</w:t>
      </w:r>
      <w:r w:rsidR="0061005F">
        <w:rPr>
          <w:rFonts w:eastAsia="Times New Roman"/>
          <w:sz w:val="28"/>
          <w:szCs w:val="28"/>
        </w:rPr>
        <w:t xml:space="preserve"> году</w:t>
      </w:r>
      <w:r w:rsidR="0061005F">
        <w:rPr>
          <w:rFonts w:eastAsia="Times New Roman"/>
          <w:sz w:val="28"/>
          <w:szCs w:val="28"/>
        </w:rPr>
        <w:t>:</w:t>
      </w:r>
    </w:p>
    <w:p w:rsidR="007C184C" w:rsidRDefault="007C184C">
      <w:pPr>
        <w:spacing w:line="34" w:lineRule="exact"/>
        <w:rPr>
          <w:sz w:val="20"/>
          <w:szCs w:val="20"/>
        </w:rPr>
      </w:pPr>
    </w:p>
    <w:p w:rsidR="007C184C" w:rsidRDefault="00AB148C">
      <w:pPr>
        <w:numPr>
          <w:ilvl w:val="1"/>
          <w:numId w:val="2"/>
        </w:numPr>
        <w:tabs>
          <w:tab w:val="left" w:pos="968"/>
        </w:tabs>
        <w:spacing w:line="236" w:lineRule="auto"/>
        <w:ind w:left="260" w:firstLine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будут </w:t>
      </w:r>
      <w:r w:rsidR="0061005F">
        <w:rPr>
          <w:rFonts w:eastAsia="Times New Roman"/>
          <w:sz w:val="28"/>
          <w:szCs w:val="28"/>
        </w:rPr>
        <w:t>определе</w:t>
      </w:r>
      <w:r w:rsidR="0061005F">
        <w:rPr>
          <w:rFonts w:eastAsia="Times New Roman"/>
          <w:sz w:val="28"/>
          <w:szCs w:val="28"/>
        </w:rPr>
        <w:t>ны основные векторы профессиональных дефицитов молодых педагогов в ходе реализации комплекса методических активностей (форумы, профессиональные сетевые сообщества, конференции, семинары, мастер-классы, конкурсы). На основе проведенной аналитики результатов</w:t>
      </w:r>
      <w:r w:rsidR="0061005F">
        <w:rPr>
          <w:rFonts w:eastAsia="Times New Roman"/>
          <w:sz w:val="28"/>
          <w:szCs w:val="28"/>
        </w:rPr>
        <w:t xml:space="preserve"> данных мероприятий сформированы ключевые целевые и содержательные линии гибкой модели регионального пространства методической поддержки и сопровождения молодых педагогов с учетом выявленных профессиональных дефицитов в области предметных, методических, пс</w:t>
      </w:r>
      <w:r w:rsidR="0061005F">
        <w:rPr>
          <w:rFonts w:eastAsia="Times New Roman"/>
          <w:sz w:val="28"/>
          <w:szCs w:val="28"/>
        </w:rPr>
        <w:t>ихолого-педагогических</w:t>
      </w:r>
      <w:r>
        <w:rPr>
          <w:rFonts w:eastAsia="Times New Roman"/>
          <w:sz w:val="28"/>
          <w:szCs w:val="28"/>
        </w:rPr>
        <w:t xml:space="preserve"> </w:t>
      </w:r>
    </w:p>
    <w:p w:rsidR="007C184C" w:rsidRDefault="007C184C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7C184C" w:rsidRDefault="0061005F">
      <w:pPr>
        <w:numPr>
          <w:ilvl w:val="0"/>
          <w:numId w:val="2"/>
        </w:numPr>
        <w:tabs>
          <w:tab w:val="left" w:pos="61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коммуникативных компетенций, заявленных в рамках Национальной системы учительского роста как ключевые в </w:t>
      </w:r>
      <w:proofErr w:type="spellStart"/>
      <w:r>
        <w:rPr>
          <w:rFonts w:eastAsia="Times New Roman"/>
          <w:sz w:val="28"/>
          <w:szCs w:val="28"/>
        </w:rPr>
        <w:t>к</w:t>
      </w:r>
      <w:r w:rsidR="00AB148C">
        <w:rPr>
          <w:rFonts w:eastAsia="Times New Roman"/>
          <w:sz w:val="28"/>
          <w:szCs w:val="28"/>
        </w:rPr>
        <w:t>омпетентностной</w:t>
      </w:r>
      <w:proofErr w:type="spellEnd"/>
      <w:r w:rsidR="00AB148C">
        <w:rPr>
          <w:rFonts w:eastAsia="Times New Roman"/>
          <w:sz w:val="28"/>
          <w:szCs w:val="28"/>
        </w:rPr>
        <w:t xml:space="preserve"> модели учителя;</w:t>
      </w:r>
    </w:p>
    <w:p w:rsidR="007C184C" w:rsidRDefault="007C184C">
      <w:pPr>
        <w:spacing w:line="45" w:lineRule="exact"/>
        <w:rPr>
          <w:rFonts w:eastAsia="Times New Roman"/>
          <w:sz w:val="28"/>
          <w:szCs w:val="28"/>
        </w:rPr>
      </w:pPr>
    </w:p>
    <w:p w:rsidR="007C184C" w:rsidRDefault="00AB148C">
      <w:pPr>
        <w:numPr>
          <w:ilvl w:val="2"/>
          <w:numId w:val="2"/>
        </w:numPr>
        <w:tabs>
          <w:tab w:val="left" w:pos="968"/>
        </w:tabs>
        <w:spacing w:line="228" w:lineRule="auto"/>
        <w:ind w:left="260" w:firstLine="4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будет </w:t>
      </w:r>
      <w:r w:rsidR="0061005F">
        <w:rPr>
          <w:rFonts w:eastAsia="Times New Roman"/>
          <w:sz w:val="28"/>
          <w:szCs w:val="28"/>
        </w:rPr>
        <w:t>обеспече</w:t>
      </w:r>
      <w:r>
        <w:rPr>
          <w:rFonts w:eastAsia="Times New Roman"/>
          <w:sz w:val="28"/>
          <w:szCs w:val="28"/>
        </w:rPr>
        <w:t>но участие молодых учителей республики</w:t>
      </w:r>
      <w:r w:rsidR="0061005F">
        <w:rPr>
          <w:rFonts w:eastAsia="Times New Roman"/>
          <w:sz w:val="28"/>
          <w:szCs w:val="28"/>
        </w:rPr>
        <w:t xml:space="preserve"> в молодежном педагогическом форуме «Учитель вчера, сегодня, завтра…»;</w:t>
      </w:r>
    </w:p>
    <w:p w:rsidR="007C184C" w:rsidRDefault="007C184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C184C" w:rsidRDefault="00AB148C">
      <w:pPr>
        <w:numPr>
          <w:ilvl w:val="2"/>
          <w:numId w:val="2"/>
        </w:numPr>
        <w:tabs>
          <w:tab w:val="left" w:pos="974"/>
        </w:tabs>
        <w:spacing w:line="233" w:lineRule="auto"/>
        <w:ind w:left="300" w:firstLine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будут привлекаться</w:t>
      </w:r>
      <w:r w:rsidR="0061005F">
        <w:rPr>
          <w:rFonts w:eastAsia="Times New Roman"/>
          <w:sz w:val="28"/>
          <w:szCs w:val="28"/>
        </w:rPr>
        <w:t xml:space="preserve"> молодые педагоги к участию в работе сетевых профессиональных пед</w:t>
      </w:r>
      <w:r>
        <w:rPr>
          <w:rFonts w:eastAsia="Times New Roman"/>
          <w:sz w:val="28"/>
          <w:szCs w:val="28"/>
        </w:rPr>
        <w:t>агогических сообщества учителей;</w:t>
      </w:r>
    </w:p>
    <w:p w:rsidR="007C184C" w:rsidRDefault="007C184C">
      <w:pPr>
        <w:spacing w:line="3" w:lineRule="exact"/>
        <w:rPr>
          <w:sz w:val="20"/>
          <w:szCs w:val="20"/>
        </w:rPr>
      </w:pPr>
    </w:p>
    <w:p w:rsidR="0061005F" w:rsidRDefault="00AB148C" w:rsidP="00AB148C">
      <w:pPr>
        <w:tabs>
          <w:tab w:val="left" w:pos="621"/>
        </w:tabs>
        <w:spacing w:line="239" w:lineRule="auto"/>
        <w:ind w:lef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61005F">
        <w:rPr>
          <w:rFonts w:eastAsia="Times New Roman"/>
          <w:sz w:val="28"/>
          <w:szCs w:val="28"/>
        </w:rPr>
        <w:t xml:space="preserve">Успешно апробированными формами наставничества в образовательных организациях </w:t>
      </w:r>
      <w:r>
        <w:rPr>
          <w:rFonts w:eastAsia="Times New Roman"/>
          <w:sz w:val="28"/>
          <w:szCs w:val="28"/>
        </w:rPr>
        <w:t>региона</w:t>
      </w:r>
      <w:r w:rsidR="0061005F">
        <w:rPr>
          <w:rFonts w:eastAsia="Times New Roman"/>
          <w:sz w:val="28"/>
          <w:szCs w:val="28"/>
        </w:rPr>
        <w:t xml:space="preserve"> являются: менторинг, педагогический </w:t>
      </w:r>
      <w:proofErr w:type="spellStart"/>
      <w:r w:rsidR="0061005F">
        <w:rPr>
          <w:rFonts w:eastAsia="Times New Roman"/>
          <w:sz w:val="28"/>
          <w:szCs w:val="28"/>
        </w:rPr>
        <w:t>коучинг</w:t>
      </w:r>
      <w:proofErr w:type="spellEnd"/>
      <w:r w:rsidR="0061005F">
        <w:rPr>
          <w:rFonts w:eastAsia="Times New Roman"/>
          <w:sz w:val="28"/>
          <w:szCs w:val="28"/>
        </w:rPr>
        <w:t xml:space="preserve">, </w:t>
      </w:r>
      <w:proofErr w:type="spellStart"/>
      <w:r w:rsidR="0061005F">
        <w:rPr>
          <w:rFonts w:eastAsia="Times New Roman"/>
          <w:sz w:val="28"/>
          <w:szCs w:val="28"/>
        </w:rPr>
        <w:t>супервизия</w:t>
      </w:r>
      <w:proofErr w:type="spellEnd"/>
      <w:r w:rsidR="0061005F">
        <w:rPr>
          <w:rFonts w:eastAsia="Times New Roman"/>
          <w:sz w:val="28"/>
          <w:szCs w:val="28"/>
        </w:rPr>
        <w:t>, двойное наставничество.</w:t>
      </w:r>
      <w:r>
        <w:rPr>
          <w:rFonts w:eastAsia="Times New Roman"/>
          <w:sz w:val="28"/>
          <w:szCs w:val="28"/>
        </w:rPr>
        <w:t xml:space="preserve"> </w:t>
      </w:r>
    </w:p>
    <w:p w:rsidR="0061005F" w:rsidRDefault="0061005F" w:rsidP="00AB148C">
      <w:pPr>
        <w:tabs>
          <w:tab w:val="left" w:pos="621"/>
        </w:tabs>
        <w:spacing w:line="239" w:lineRule="auto"/>
        <w:ind w:lef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Технической платформ</w:t>
      </w:r>
      <w:r>
        <w:rPr>
          <w:rFonts w:eastAsia="Times New Roman"/>
          <w:sz w:val="28"/>
          <w:szCs w:val="28"/>
        </w:rPr>
        <w:t>ой для развития наставничества как формы сопровождения профессионального развития молодых педагогов в условиях цифровизации образования является электронный сервис, разрабатываемый на базе официального сайта ИПКРО РИ.</w:t>
      </w:r>
    </w:p>
    <w:p w:rsidR="007C184C" w:rsidRDefault="0061005F" w:rsidP="00AB148C">
      <w:pPr>
        <w:tabs>
          <w:tab w:val="left" w:pos="621"/>
        </w:tabs>
        <w:spacing w:line="239" w:lineRule="auto"/>
        <w:ind w:lef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Электронный сервис сопровождения профессионального роста молодого учителя будет включать</w:t>
      </w:r>
      <w:r>
        <w:rPr>
          <w:rFonts w:eastAsia="Times New Roman"/>
          <w:sz w:val="28"/>
          <w:szCs w:val="28"/>
        </w:rPr>
        <w:t xml:space="preserve"> такие компоненты, как банк идей наставников, банк моделей наставнической деятельности, календарь мероприятий по обмену наста</w:t>
      </w:r>
      <w:r>
        <w:rPr>
          <w:rFonts w:eastAsia="Times New Roman"/>
          <w:sz w:val="28"/>
          <w:szCs w:val="28"/>
        </w:rPr>
        <w:t xml:space="preserve">вничестким опытом (вебинары, форумы, семинары), календарь обучающих мероприятий (курсы повышения квалификации по проблеме наставничества в школе), диагностический инструментарий для всех субъектов наставнической деятельности, навигатор наставника, справка </w:t>
      </w:r>
      <w:r>
        <w:rPr>
          <w:rFonts w:eastAsia="Times New Roman"/>
          <w:sz w:val="28"/>
          <w:szCs w:val="28"/>
        </w:rPr>
        <w:t>об электронных образовательных ресурсах, платформа для развития сетевого сообщества наставников и молодых педагогов.</w:t>
      </w:r>
    </w:p>
    <w:p w:rsidR="007C184C" w:rsidRDefault="007C184C">
      <w:pPr>
        <w:spacing w:line="8" w:lineRule="exact"/>
        <w:rPr>
          <w:rFonts w:eastAsia="Times New Roman"/>
          <w:sz w:val="28"/>
          <w:szCs w:val="28"/>
        </w:rPr>
      </w:pPr>
    </w:p>
    <w:p w:rsidR="007C184C" w:rsidRDefault="0061005F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плана –проспекта будут</w:t>
      </w:r>
      <w:r>
        <w:rPr>
          <w:rFonts w:eastAsia="Times New Roman"/>
          <w:sz w:val="28"/>
          <w:szCs w:val="28"/>
        </w:rPr>
        <w:t xml:space="preserve"> проведены фестивали</w:t>
      </w:r>
    </w:p>
    <w:p w:rsidR="007C184C" w:rsidRDefault="007C184C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1005F" w:rsidRDefault="0061005F" w:rsidP="0061005F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открытых </w:t>
      </w:r>
      <w:r>
        <w:rPr>
          <w:rFonts w:eastAsia="Times New Roman"/>
          <w:sz w:val="28"/>
          <w:szCs w:val="28"/>
        </w:rPr>
        <w:t>уроков,</w:t>
      </w:r>
    </w:p>
    <w:p w:rsidR="007C184C" w:rsidRDefault="0061005F">
      <w:pPr>
        <w:spacing w:line="23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естиваль педагогических инноваций «ИОС дошкольной образовательной</w:t>
      </w:r>
    </w:p>
    <w:p w:rsidR="007C184C" w:rsidRDefault="007C184C">
      <w:pPr>
        <w:spacing w:line="18" w:lineRule="exact"/>
        <w:rPr>
          <w:sz w:val="20"/>
          <w:szCs w:val="20"/>
        </w:rPr>
      </w:pPr>
    </w:p>
    <w:p w:rsidR="007C184C" w:rsidRDefault="0061005F">
      <w:pPr>
        <w:spacing w:line="23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организации», фестиваль образовательных инициатив «Педагогические системы достижения комплексного результата ФГОС», </w:t>
      </w:r>
      <w:r>
        <w:rPr>
          <w:rFonts w:eastAsia="Times New Roman"/>
          <w:sz w:val="28"/>
          <w:szCs w:val="28"/>
        </w:rPr>
        <w:t xml:space="preserve">форумы </w:t>
      </w:r>
      <w:r>
        <w:rPr>
          <w:rFonts w:eastAsia="Times New Roman"/>
          <w:sz w:val="28"/>
          <w:szCs w:val="28"/>
        </w:rPr>
        <w:t xml:space="preserve">«Эффективные методики преподавания математики, физики, химии и биологии в условиях ГИА в формате ОГЭ/ЕГЭ», </w:t>
      </w:r>
      <w:r>
        <w:rPr>
          <w:rFonts w:eastAsia="Times New Roman"/>
          <w:sz w:val="28"/>
          <w:szCs w:val="28"/>
        </w:rPr>
        <w:t>«Акт</w:t>
      </w:r>
      <w:r>
        <w:rPr>
          <w:rFonts w:eastAsia="Times New Roman"/>
          <w:sz w:val="28"/>
          <w:szCs w:val="28"/>
        </w:rPr>
        <w:t>уальные проблемы повышения качества преподавания истории, обществознания, географии в условиях ГИА», фестиваль образовательных инициатив «Педагогические системы достижения комплексного результата ФГОС».</w:t>
      </w:r>
    </w:p>
    <w:p w:rsidR="007C184C" w:rsidRDefault="007C184C">
      <w:pPr>
        <w:spacing w:line="3" w:lineRule="exact"/>
        <w:rPr>
          <w:sz w:val="20"/>
          <w:szCs w:val="20"/>
        </w:rPr>
      </w:pPr>
    </w:p>
    <w:p w:rsidR="007C184C" w:rsidRDefault="0061005F">
      <w:pPr>
        <w:spacing w:line="239" w:lineRule="auto"/>
        <w:ind w:left="300" w:firstLine="32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в рамках формирования инновационной инфраструктуры сопровождения </w:t>
      </w:r>
      <w:r>
        <w:rPr>
          <w:rFonts w:eastAsia="Times New Roman"/>
          <w:sz w:val="28"/>
          <w:szCs w:val="28"/>
        </w:rPr>
        <w:t>профессионального роста молодых педагогов будет создана</w:t>
      </w:r>
      <w:r>
        <w:rPr>
          <w:rFonts w:eastAsia="Times New Roman"/>
          <w:sz w:val="28"/>
          <w:szCs w:val="28"/>
        </w:rPr>
        <w:t xml:space="preserve"> творческая мастерская специалистов дошкольного образования «Оптимизация условий реализации ФГОС ДОО», </w:t>
      </w:r>
    </w:p>
    <w:p w:rsidR="007C184C" w:rsidRPr="0061005F" w:rsidRDefault="007C184C" w:rsidP="0061005F">
      <w:pPr>
        <w:pStyle w:val="a4"/>
        <w:numPr>
          <w:ilvl w:val="0"/>
          <w:numId w:val="7"/>
        </w:numPr>
        <w:spacing w:line="15" w:lineRule="exact"/>
        <w:rPr>
          <w:rFonts w:eastAsia="Times New Roman"/>
          <w:sz w:val="28"/>
          <w:szCs w:val="28"/>
        </w:rPr>
      </w:pPr>
    </w:p>
    <w:p w:rsidR="007C184C" w:rsidRPr="0061005F" w:rsidRDefault="0061005F" w:rsidP="0061005F">
      <w:pPr>
        <w:pStyle w:val="a4"/>
        <w:numPr>
          <w:ilvl w:val="0"/>
          <w:numId w:val="7"/>
        </w:numPr>
        <w:spacing w:line="238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инициированы исследования</w:t>
      </w:r>
      <w:r w:rsidRPr="0061005F">
        <w:rPr>
          <w:rFonts w:eastAsia="Times New Roman"/>
          <w:sz w:val="28"/>
          <w:szCs w:val="28"/>
        </w:rPr>
        <w:t xml:space="preserve"> проблемы сопровождения профессионального роста молодых педагогов </w:t>
      </w:r>
      <w:r>
        <w:rPr>
          <w:rFonts w:eastAsia="Times New Roman"/>
          <w:sz w:val="28"/>
          <w:szCs w:val="28"/>
        </w:rPr>
        <w:t>республики</w:t>
      </w:r>
      <w:r w:rsidRPr="0061005F">
        <w:rPr>
          <w:rFonts w:eastAsia="Times New Roman"/>
          <w:sz w:val="28"/>
          <w:szCs w:val="28"/>
        </w:rPr>
        <w:t xml:space="preserve">, целью которого является разработка эффективной модели поддержки и развития профессионального роста молодых </w:t>
      </w:r>
      <w:r w:rsidRPr="0061005F">
        <w:rPr>
          <w:rFonts w:eastAsia="Times New Roman"/>
          <w:sz w:val="28"/>
          <w:szCs w:val="28"/>
        </w:rPr>
        <w:t>педагогов в современной школе, разработка и апробация эффективных форм и технологий наставничества.</w:t>
      </w:r>
    </w:p>
    <w:p w:rsidR="007C184C" w:rsidRDefault="007C184C">
      <w:pPr>
        <w:spacing w:line="3" w:lineRule="exact"/>
        <w:rPr>
          <w:rFonts w:eastAsia="Times New Roman"/>
          <w:sz w:val="28"/>
          <w:szCs w:val="28"/>
        </w:rPr>
      </w:pPr>
    </w:p>
    <w:p w:rsidR="007C184C" w:rsidRDefault="0061005F" w:rsidP="0061005F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пециалистами </w:t>
      </w:r>
      <w:r>
        <w:rPr>
          <w:rFonts w:eastAsia="Times New Roman"/>
          <w:sz w:val="28"/>
          <w:szCs w:val="28"/>
        </w:rPr>
        <w:t xml:space="preserve">   Института   будут </w:t>
      </w:r>
      <w:r>
        <w:rPr>
          <w:rFonts w:eastAsia="Times New Roman"/>
          <w:sz w:val="28"/>
          <w:szCs w:val="28"/>
        </w:rPr>
        <w:t>разработаны</w:t>
      </w:r>
      <w:r>
        <w:rPr>
          <w:rFonts w:eastAsia="Times New Roman"/>
          <w:sz w:val="28"/>
          <w:szCs w:val="28"/>
        </w:rPr>
        <w:t xml:space="preserve">   и </w:t>
      </w:r>
      <w:r>
        <w:rPr>
          <w:rFonts w:eastAsia="Times New Roman"/>
          <w:sz w:val="28"/>
          <w:szCs w:val="28"/>
        </w:rPr>
        <w:t>опубликован комплекс методических материалов поддержки молодого учителя – учебные п</w:t>
      </w:r>
      <w:r>
        <w:rPr>
          <w:rFonts w:eastAsia="Times New Roman"/>
          <w:sz w:val="28"/>
          <w:szCs w:val="28"/>
        </w:rPr>
        <w:t>особия, статьи, методические рекомендации, к примеру,</w:t>
      </w:r>
    </w:p>
    <w:p w:rsidR="007C184C" w:rsidRDefault="007C184C">
      <w:pPr>
        <w:spacing w:line="18" w:lineRule="exact"/>
        <w:rPr>
          <w:sz w:val="20"/>
          <w:szCs w:val="20"/>
        </w:rPr>
      </w:pPr>
    </w:p>
    <w:p w:rsidR="0061005F" w:rsidRDefault="0061005F" w:rsidP="0061005F">
      <w:pPr>
        <w:tabs>
          <w:tab w:val="left" w:pos="493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«Среда профессионального развития учителя российской школы, «устремленной в будущее». Стратегии, практики, перспективы»;</w:t>
      </w:r>
    </w:p>
    <w:p w:rsidR="007C184C" w:rsidRDefault="0061005F" w:rsidP="0061005F">
      <w:pPr>
        <w:tabs>
          <w:tab w:val="left" w:pos="493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«Ресурс становления мол</w:t>
      </w:r>
      <w:r>
        <w:rPr>
          <w:rFonts w:eastAsia="Times New Roman"/>
          <w:sz w:val="28"/>
          <w:szCs w:val="28"/>
        </w:rPr>
        <w:t xml:space="preserve">одого учителя современной российской школы – инновационная среда профессиональных сообществ, наставничества, лабораторий педагогического творчества», </w:t>
      </w:r>
    </w:p>
    <w:p w:rsidR="007C184C" w:rsidRDefault="007C184C">
      <w:pPr>
        <w:spacing w:line="13" w:lineRule="exact"/>
        <w:rPr>
          <w:rFonts w:eastAsia="Times New Roman"/>
          <w:sz w:val="28"/>
          <w:szCs w:val="28"/>
        </w:rPr>
      </w:pPr>
    </w:p>
    <w:p w:rsidR="007C184C" w:rsidRDefault="0061005F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 основных задач пр</w:t>
      </w:r>
      <w:r>
        <w:rPr>
          <w:rFonts w:eastAsia="Times New Roman"/>
          <w:sz w:val="28"/>
          <w:szCs w:val="28"/>
        </w:rPr>
        <w:t>офессиональной деятельности молодого педагога и</w:t>
      </w:r>
    </w:p>
    <w:p w:rsidR="007C184C" w:rsidRDefault="007C184C">
      <w:pPr>
        <w:spacing w:line="17" w:lineRule="exact"/>
        <w:rPr>
          <w:sz w:val="20"/>
          <w:szCs w:val="20"/>
        </w:rPr>
      </w:pPr>
    </w:p>
    <w:p w:rsidR="007C184C" w:rsidRDefault="0061005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компетентностная модель молодого учителя, а так же программа самообучения в Школе молодого учителя и фонд оценочных средств для контроля и самоконтроля динамики профессионального развития молодого учителя.</w:t>
      </w:r>
    </w:p>
    <w:p w:rsidR="007C184C" w:rsidRDefault="007C184C">
      <w:pPr>
        <w:spacing w:line="17" w:lineRule="exact"/>
        <w:rPr>
          <w:sz w:val="20"/>
          <w:szCs w:val="20"/>
        </w:rPr>
      </w:pPr>
    </w:p>
    <w:p w:rsidR="007C184C" w:rsidRDefault="0061005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стратегической задачи профессионального развития молодых кадров в образовании лежит в плоскости гуманитарных отношений</w:t>
      </w:r>
    </w:p>
    <w:p w:rsidR="007C184C" w:rsidRDefault="0061005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профессионалов, находящихся на разных этапах жизненного цикла профессии, где ресурсом эффективного сопровож</w:t>
      </w:r>
      <w:r>
        <w:rPr>
          <w:rFonts w:eastAsia="Times New Roman"/>
          <w:sz w:val="28"/>
          <w:szCs w:val="28"/>
        </w:rPr>
        <w:t>дения профессионального развития молодого учителя является профессиональная успешность, авторитет более опытного партнера и установка на опережающий характер развития. В Республике Ингушетия</w:t>
      </w:r>
      <w:r>
        <w:rPr>
          <w:rFonts w:eastAsia="Times New Roman"/>
          <w:sz w:val="28"/>
          <w:szCs w:val="28"/>
        </w:rPr>
        <w:t xml:space="preserve"> в рамках формирующейся Национальной системы учительского роста имен</w:t>
      </w:r>
      <w:r>
        <w:rPr>
          <w:rFonts w:eastAsia="Times New Roman"/>
          <w:sz w:val="28"/>
          <w:szCs w:val="28"/>
        </w:rPr>
        <w:t>но дополнительное профессиональное образование, центром которого является ИПКРО РИ</w:t>
      </w:r>
      <w:r>
        <w:rPr>
          <w:rFonts w:eastAsia="Times New Roman"/>
          <w:sz w:val="28"/>
          <w:szCs w:val="28"/>
        </w:rPr>
        <w:t xml:space="preserve"> при поддержке Министерства </w:t>
      </w:r>
      <w:r>
        <w:rPr>
          <w:rFonts w:eastAsia="Times New Roman"/>
          <w:sz w:val="28"/>
          <w:szCs w:val="28"/>
        </w:rPr>
        <w:t>образования и науки Республики Ингушетия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позиционируется как платформа сопровождения профессионального роста молод</w:t>
      </w:r>
      <w:r>
        <w:rPr>
          <w:rFonts w:eastAsia="Times New Roman"/>
          <w:sz w:val="28"/>
          <w:szCs w:val="28"/>
        </w:rPr>
        <w:t>ых учителей.</w:t>
      </w:r>
    </w:p>
    <w:sectPr w:rsidR="007C184C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183AB290"/>
    <w:lvl w:ilvl="0" w:tplc="D93A1FE0">
      <w:start w:val="1"/>
      <w:numFmt w:val="bullet"/>
      <w:lvlText w:val="а"/>
      <w:lvlJc w:val="left"/>
    </w:lvl>
    <w:lvl w:ilvl="1" w:tplc="142C54AE">
      <w:numFmt w:val="decimal"/>
      <w:lvlText w:val=""/>
      <w:lvlJc w:val="left"/>
    </w:lvl>
    <w:lvl w:ilvl="2" w:tplc="FF864BB2">
      <w:numFmt w:val="decimal"/>
      <w:lvlText w:val=""/>
      <w:lvlJc w:val="left"/>
    </w:lvl>
    <w:lvl w:ilvl="3" w:tplc="5D7843F6">
      <w:numFmt w:val="decimal"/>
      <w:lvlText w:val=""/>
      <w:lvlJc w:val="left"/>
    </w:lvl>
    <w:lvl w:ilvl="4" w:tplc="B028874A">
      <w:numFmt w:val="decimal"/>
      <w:lvlText w:val=""/>
      <w:lvlJc w:val="left"/>
    </w:lvl>
    <w:lvl w:ilvl="5" w:tplc="B90C7F3A">
      <w:numFmt w:val="decimal"/>
      <w:lvlText w:val=""/>
      <w:lvlJc w:val="left"/>
    </w:lvl>
    <w:lvl w:ilvl="6" w:tplc="4260B7D6">
      <w:numFmt w:val="decimal"/>
      <w:lvlText w:val=""/>
      <w:lvlJc w:val="left"/>
    </w:lvl>
    <w:lvl w:ilvl="7" w:tplc="20B28CCA">
      <w:numFmt w:val="decimal"/>
      <w:lvlText w:val=""/>
      <w:lvlJc w:val="left"/>
    </w:lvl>
    <w:lvl w:ilvl="8" w:tplc="A4A014D0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B66260DA"/>
    <w:lvl w:ilvl="0" w:tplc="F452B766">
      <w:start w:val="1"/>
      <w:numFmt w:val="bullet"/>
      <w:lvlText w:val="В"/>
      <w:lvlJc w:val="left"/>
    </w:lvl>
    <w:lvl w:ilvl="1" w:tplc="4296E188">
      <w:numFmt w:val="decimal"/>
      <w:lvlText w:val=""/>
      <w:lvlJc w:val="left"/>
    </w:lvl>
    <w:lvl w:ilvl="2" w:tplc="C1C6651E">
      <w:numFmt w:val="decimal"/>
      <w:lvlText w:val=""/>
      <w:lvlJc w:val="left"/>
    </w:lvl>
    <w:lvl w:ilvl="3" w:tplc="B6404976">
      <w:numFmt w:val="decimal"/>
      <w:lvlText w:val=""/>
      <w:lvlJc w:val="left"/>
    </w:lvl>
    <w:lvl w:ilvl="4" w:tplc="9F6EB402">
      <w:numFmt w:val="decimal"/>
      <w:lvlText w:val=""/>
      <w:lvlJc w:val="left"/>
    </w:lvl>
    <w:lvl w:ilvl="5" w:tplc="607CFA4C">
      <w:numFmt w:val="decimal"/>
      <w:lvlText w:val=""/>
      <w:lvlJc w:val="left"/>
    </w:lvl>
    <w:lvl w:ilvl="6" w:tplc="F2962264">
      <w:numFmt w:val="decimal"/>
      <w:lvlText w:val=""/>
      <w:lvlJc w:val="left"/>
    </w:lvl>
    <w:lvl w:ilvl="7" w:tplc="CDA0EDF4">
      <w:numFmt w:val="decimal"/>
      <w:lvlText w:val=""/>
      <w:lvlJc w:val="left"/>
    </w:lvl>
    <w:lvl w:ilvl="8" w:tplc="36E0C14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DD7C6F26"/>
    <w:lvl w:ilvl="0" w:tplc="63E60832">
      <w:start w:val="1"/>
      <w:numFmt w:val="bullet"/>
      <w:lvlText w:val=""/>
      <w:lvlJc w:val="left"/>
    </w:lvl>
    <w:lvl w:ilvl="1" w:tplc="C87819EA">
      <w:numFmt w:val="decimal"/>
      <w:lvlText w:val=""/>
      <w:lvlJc w:val="left"/>
    </w:lvl>
    <w:lvl w:ilvl="2" w:tplc="949E1D44">
      <w:numFmt w:val="decimal"/>
      <w:lvlText w:val=""/>
      <w:lvlJc w:val="left"/>
    </w:lvl>
    <w:lvl w:ilvl="3" w:tplc="3034C81E">
      <w:numFmt w:val="decimal"/>
      <w:lvlText w:val=""/>
      <w:lvlJc w:val="left"/>
    </w:lvl>
    <w:lvl w:ilvl="4" w:tplc="AB8463C4">
      <w:numFmt w:val="decimal"/>
      <w:lvlText w:val=""/>
      <w:lvlJc w:val="left"/>
    </w:lvl>
    <w:lvl w:ilvl="5" w:tplc="EDAA40D8">
      <w:numFmt w:val="decimal"/>
      <w:lvlText w:val=""/>
      <w:lvlJc w:val="left"/>
    </w:lvl>
    <w:lvl w:ilvl="6" w:tplc="12B86668">
      <w:numFmt w:val="decimal"/>
      <w:lvlText w:val=""/>
      <w:lvlJc w:val="left"/>
    </w:lvl>
    <w:lvl w:ilvl="7" w:tplc="1D92B426">
      <w:numFmt w:val="decimal"/>
      <w:lvlText w:val=""/>
      <w:lvlJc w:val="left"/>
    </w:lvl>
    <w:lvl w:ilvl="8" w:tplc="9020AC3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85C08100"/>
    <w:lvl w:ilvl="0" w:tplc="48205BB0">
      <w:start w:val="1"/>
      <w:numFmt w:val="bullet"/>
      <w:lvlText w:val="в"/>
      <w:lvlJc w:val="left"/>
    </w:lvl>
    <w:lvl w:ilvl="1" w:tplc="F45610E2">
      <w:start w:val="1"/>
      <w:numFmt w:val="bullet"/>
      <w:lvlText w:val=""/>
      <w:lvlJc w:val="left"/>
    </w:lvl>
    <w:lvl w:ilvl="2" w:tplc="0B08885C">
      <w:numFmt w:val="decimal"/>
      <w:lvlText w:val=""/>
      <w:lvlJc w:val="left"/>
    </w:lvl>
    <w:lvl w:ilvl="3" w:tplc="AF806C5C">
      <w:numFmt w:val="decimal"/>
      <w:lvlText w:val=""/>
      <w:lvlJc w:val="left"/>
    </w:lvl>
    <w:lvl w:ilvl="4" w:tplc="A644F4FA">
      <w:numFmt w:val="decimal"/>
      <w:lvlText w:val=""/>
      <w:lvlJc w:val="left"/>
    </w:lvl>
    <w:lvl w:ilvl="5" w:tplc="CF22C098">
      <w:numFmt w:val="decimal"/>
      <w:lvlText w:val=""/>
      <w:lvlJc w:val="left"/>
    </w:lvl>
    <w:lvl w:ilvl="6" w:tplc="1C52F730">
      <w:numFmt w:val="decimal"/>
      <w:lvlText w:val=""/>
      <w:lvlJc w:val="left"/>
    </w:lvl>
    <w:lvl w:ilvl="7" w:tplc="91141AA0">
      <w:numFmt w:val="decimal"/>
      <w:lvlText w:val=""/>
      <w:lvlJc w:val="left"/>
    </w:lvl>
    <w:lvl w:ilvl="8" w:tplc="D15E923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F7EA74DC"/>
    <w:lvl w:ilvl="0" w:tplc="B2200484">
      <w:start w:val="1"/>
      <w:numFmt w:val="bullet"/>
      <w:lvlText w:val="в"/>
      <w:lvlJc w:val="left"/>
    </w:lvl>
    <w:lvl w:ilvl="1" w:tplc="7D56D2AE">
      <w:numFmt w:val="decimal"/>
      <w:lvlText w:val=""/>
      <w:lvlJc w:val="left"/>
    </w:lvl>
    <w:lvl w:ilvl="2" w:tplc="F0C68A1E">
      <w:numFmt w:val="decimal"/>
      <w:lvlText w:val=""/>
      <w:lvlJc w:val="left"/>
    </w:lvl>
    <w:lvl w:ilvl="3" w:tplc="203882B6">
      <w:numFmt w:val="decimal"/>
      <w:lvlText w:val=""/>
      <w:lvlJc w:val="left"/>
    </w:lvl>
    <w:lvl w:ilvl="4" w:tplc="EC9CB714">
      <w:numFmt w:val="decimal"/>
      <w:lvlText w:val=""/>
      <w:lvlJc w:val="left"/>
    </w:lvl>
    <w:lvl w:ilvl="5" w:tplc="21AE50B6">
      <w:numFmt w:val="decimal"/>
      <w:lvlText w:val=""/>
      <w:lvlJc w:val="left"/>
    </w:lvl>
    <w:lvl w:ilvl="6" w:tplc="B5DC3BD6">
      <w:numFmt w:val="decimal"/>
      <w:lvlText w:val=""/>
      <w:lvlJc w:val="left"/>
    </w:lvl>
    <w:lvl w:ilvl="7" w:tplc="09B0E5A4">
      <w:numFmt w:val="decimal"/>
      <w:lvlText w:val=""/>
      <w:lvlJc w:val="left"/>
    </w:lvl>
    <w:lvl w:ilvl="8" w:tplc="679C5710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F1EA4020"/>
    <w:lvl w:ilvl="0" w:tplc="8BCA3A9A">
      <w:start w:val="1"/>
      <w:numFmt w:val="bullet"/>
      <w:lvlText w:val="и"/>
      <w:lvlJc w:val="left"/>
    </w:lvl>
    <w:lvl w:ilvl="1" w:tplc="946C6108">
      <w:start w:val="1"/>
      <w:numFmt w:val="bullet"/>
      <w:lvlText w:val=""/>
      <w:lvlJc w:val="left"/>
    </w:lvl>
    <w:lvl w:ilvl="2" w:tplc="0BDE7F90">
      <w:start w:val="1"/>
      <w:numFmt w:val="bullet"/>
      <w:lvlText w:val=""/>
      <w:lvlJc w:val="left"/>
    </w:lvl>
    <w:lvl w:ilvl="3" w:tplc="5D0AD210">
      <w:numFmt w:val="decimal"/>
      <w:lvlText w:val=""/>
      <w:lvlJc w:val="left"/>
    </w:lvl>
    <w:lvl w:ilvl="4" w:tplc="301E400C">
      <w:numFmt w:val="decimal"/>
      <w:lvlText w:val=""/>
      <w:lvlJc w:val="left"/>
    </w:lvl>
    <w:lvl w:ilvl="5" w:tplc="68E22736">
      <w:numFmt w:val="decimal"/>
      <w:lvlText w:val=""/>
      <w:lvlJc w:val="left"/>
    </w:lvl>
    <w:lvl w:ilvl="6" w:tplc="8A660594">
      <w:numFmt w:val="decimal"/>
      <w:lvlText w:val=""/>
      <w:lvlJc w:val="left"/>
    </w:lvl>
    <w:lvl w:ilvl="7" w:tplc="7BEEEB44">
      <w:numFmt w:val="decimal"/>
      <w:lvlText w:val=""/>
      <w:lvlJc w:val="left"/>
    </w:lvl>
    <w:lvl w:ilvl="8" w:tplc="1DC21406">
      <w:numFmt w:val="decimal"/>
      <w:lvlText w:val=""/>
      <w:lvlJc w:val="left"/>
    </w:lvl>
  </w:abstractNum>
  <w:abstractNum w:abstractNumId="6" w15:restartNumberingAfterBreak="0">
    <w:nsid w:val="7C3C669A"/>
    <w:multiLevelType w:val="hybridMultilevel"/>
    <w:tmpl w:val="D0444070"/>
    <w:lvl w:ilvl="0" w:tplc="88304514">
      <w:start w:val="8"/>
      <w:numFmt w:val="bullet"/>
      <w:lvlText w:val=""/>
      <w:lvlJc w:val="left"/>
      <w:pPr>
        <w:ind w:left="134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C"/>
    <w:rsid w:val="0061005F"/>
    <w:rsid w:val="007C184C"/>
    <w:rsid w:val="00A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70AF"/>
  <w15:docId w15:val="{B5756003-0372-478E-B345-0AC53C9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2</cp:revision>
  <dcterms:created xsi:type="dcterms:W3CDTF">2019-07-02T22:37:00Z</dcterms:created>
  <dcterms:modified xsi:type="dcterms:W3CDTF">2019-07-03T08:07:00Z</dcterms:modified>
</cp:coreProperties>
</file>