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2B" w:rsidRDefault="004442C9">
      <w:pPr>
        <w:pStyle w:val="a3"/>
        <w:spacing w:before="74"/>
        <w:ind w:left="5785" w:firstLine="0"/>
        <w:jc w:val="left"/>
        <w:rPr>
          <w:u w:val="none"/>
        </w:rPr>
      </w:pPr>
      <w:r>
        <w:rPr>
          <w:spacing w:val="-2"/>
          <w:u w:val="none"/>
        </w:rPr>
        <w:t>УТВЕРЖДЕНО</w:t>
      </w:r>
    </w:p>
    <w:p w:rsidR="00F1662B" w:rsidRDefault="004442C9">
      <w:pPr>
        <w:pStyle w:val="a3"/>
        <w:spacing w:before="164" w:line="360" w:lineRule="auto"/>
        <w:ind w:left="5785" w:right="177" w:firstLine="0"/>
        <w:jc w:val="left"/>
        <w:rPr>
          <w:u w:val="none"/>
        </w:rPr>
      </w:pPr>
      <w:r>
        <w:rPr>
          <w:u w:val="none"/>
        </w:rPr>
        <w:t xml:space="preserve">Протоколом №5 от 23.05.2022 года расширенного заседания научно-методического совета </w:t>
      </w:r>
      <w:r w:rsidR="002A6F33">
        <w:rPr>
          <w:u w:val="none"/>
        </w:rPr>
        <w:t>ГБОУ ДПО ИПК РО РИ</w:t>
      </w:r>
    </w:p>
    <w:p w:rsidR="00F1662B" w:rsidRDefault="00F1662B">
      <w:pPr>
        <w:pStyle w:val="a3"/>
        <w:spacing w:before="10"/>
        <w:ind w:left="0" w:firstLine="0"/>
        <w:jc w:val="left"/>
        <w:rPr>
          <w:sz w:val="41"/>
          <w:u w:val="none"/>
        </w:rPr>
      </w:pPr>
    </w:p>
    <w:p w:rsidR="00F1662B" w:rsidRDefault="004442C9">
      <w:pPr>
        <w:pStyle w:val="1"/>
        <w:spacing w:before="0" w:line="360" w:lineRule="auto"/>
        <w:ind w:left="303" w:right="304"/>
        <w:jc w:val="center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УСПЕШНЫХ</w:t>
      </w:r>
      <w:r>
        <w:rPr>
          <w:spacing w:val="-8"/>
        </w:rPr>
        <w:t xml:space="preserve"> </w:t>
      </w:r>
      <w:r>
        <w:t>ПРАКТИК, РАЗРАБОТАННЫЕ С УЧЕТОМ АНАЛИЗА РЕЗУЛЬТАТОВ</w:t>
      </w:r>
    </w:p>
    <w:p w:rsidR="00F1662B" w:rsidRDefault="004442C9">
      <w:pPr>
        <w:spacing w:before="2"/>
        <w:ind w:left="303" w:right="301"/>
        <w:jc w:val="center"/>
        <w:rPr>
          <w:b/>
          <w:sz w:val="28"/>
        </w:rPr>
      </w:pPr>
      <w:r>
        <w:rPr>
          <w:b/>
          <w:sz w:val="28"/>
        </w:rPr>
        <w:t>МОНИТОРИНГА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ПОКАЗАТЕЛЕЙ</w:t>
      </w:r>
    </w:p>
    <w:p w:rsidR="00F1662B" w:rsidRDefault="004442C9">
      <w:pPr>
        <w:pStyle w:val="a3"/>
        <w:spacing w:before="160" w:line="360" w:lineRule="auto"/>
        <w:ind w:right="120"/>
        <w:rPr>
          <w:u w:val="none"/>
        </w:rPr>
      </w:pPr>
      <w:r>
        <w:rPr>
          <w:u w:val="none"/>
        </w:rPr>
        <w:t>На основе проведенного мониторинга и с учетом анализа результатов мониторинга показателей разработаны рекомендации для целевых групп относительно выявленных проблем.</w:t>
      </w:r>
    </w:p>
    <w:p w:rsidR="00F1662B" w:rsidRDefault="004442C9">
      <w:pPr>
        <w:pStyle w:val="a3"/>
        <w:spacing w:before="1" w:line="360" w:lineRule="auto"/>
        <w:ind w:right="106"/>
        <w:rPr>
          <w:u w:val="none"/>
        </w:rPr>
      </w:pPr>
      <w:r>
        <w:rPr>
          <w:u w:val="none"/>
        </w:rPr>
        <w:t>Ресурсом, аккумулирующим успешные практики педагогов и образовательных организ</w:t>
      </w:r>
      <w:r>
        <w:rPr>
          <w:u w:val="none"/>
        </w:rPr>
        <w:t xml:space="preserve">аций региона, </w:t>
      </w:r>
      <w:r w:rsidR="002A6F33">
        <w:rPr>
          <w:u w:val="none"/>
        </w:rPr>
        <w:t xml:space="preserve">будет </w:t>
      </w:r>
      <w:proofErr w:type="spellStart"/>
      <w:r>
        <w:rPr>
          <w:u w:val="none"/>
        </w:rPr>
        <w:t>являет</w:t>
      </w:r>
      <w:r w:rsidR="002A6F33">
        <w:rPr>
          <w:u w:val="none"/>
        </w:rPr>
        <w:t>ь</w:t>
      </w:r>
      <w:r>
        <w:rPr>
          <w:u w:val="none"/>
        </w:rPr>
        <w:t>ся</w:t>
      </w:r>
      <w:proofErr w:type="spellEnd"/>
      <w:r>
        <w:rPr>
          <w:u w:val="none"/>
        </w:rPr>
        <w:t xml:space="preserve"> научно-методический республиканский журнал «Педагогический вестник </w:t>
      </w:r>
      <w:r w:rsidR="002A6F33">
        <w:rPr>
          <w:u w:val="none"/>
        </w:rPr>
        <w:t>Ингушетии</w:t>
      </w:r>
      <w:r>
        <w:rPr>
          <w:u w:val="none"/>
        </w:rPr>
        <w:t>»</w:t>
      </w:r>
      <w:r w:rsidR="002A6F33">
        <w:rPr>
          <w:u w:val="none"/>
        </w:rPr>
        <w:t xml:space="preserve">, который будет создан на сайте ГБОУ ДПО ИПК РО РИ. </w:t>
      </w:r>
      <w:r>
        <w:rPr>
          <w:u w:val="none"/>
        </w:rPr>
        <w:t xml:space="preserve">В </w:t>
      </w:r>
      <w:r w:rsidR="002A6F33">
        <w:rPr>
          <w:u w:val="none"/>
        </w:rPr>
        <w:t xml:space="preserve">электронном </w:t>
      </w:r>
      <w:r>
        <w:rPr>
          <w:u w:val="none"/>
        </w:rPr>
        <w:t xml:space="preserve">журнале </w:t>
      </w:r>
      <w:r w:rsidR="002A6F33">
        <w:rPr>
          <w:u w:val="none"/>
        </w:rPr>
        <w:t xml:space="preserve">будут </w:t>
      </w:r>
      <w:proofErr w:type="spellStart"/>
      <w:r>
        <w:rPr>
          <w:u w:val="none"/>
        </w:rPr>
        <w:t>публику</w:t>
      </w:r>
      <w:r w:rsidR="002A6F33">
        <w:rPr>
          <w:u w:val="none"/>
        </w:rPr>
        <w:t>ваться</w:t>
      </w:r>
      <w:proofErr w:type="spellEnd"/>
      <w:r>
        <w:rPr>
          <w:u w:val="none"/>
        </w:rPr>
        <w:t xml:space="preserve"> материалы конференций, семинаров и конкурсов. В разделе «Методическая копилка» </w:t>
      </w:r>
      <w:r w:rsidR="002A6F33">
        <w:rPr>
          <w:u w:val="none"/>
        </w:rPr>
        <w:t xml:space="preserve">на сайте ГБОУ ДПО ИПК РО РИ </w:t>
      </w:r>
      <w:r>
        <w:rPr>
          <w:u w:val="none"/>
        </w:rPr>
        <w:t>содержатся конкретные практико-ориентированные методические разработки педагогов, нацеленные на решение актуальных проблем обр</w:t>
      </w:r>
      <w:r>
        <w:rPr>
          <w:u w:val="none"/>
        </w:rPr>
        <w:t xml:space="preserve">азования и воспитания обучающихся образовательных организаций </w:t>
      </w:r>
      <w:r w:rsidR="002A6F33">
        <w:rPr>
          <w:u w:val="none"/>
        </w:rPr>
        <w:t>Ингушетии</w:t>
      </w:r>
      <w:r>
        <w:rPr>
          <w:spacing w:val="-2"/>
          <w:u w:val="none"/>
        </w:rPr>
        <w:t>.</w:t>
      </w:r>
    </w:p>
    <w:p w:rsidR="00F1662B" w:rsidRDefault="004442C9">
      <w:pPr>
        <w:spacing w:before="162" w:line="360" w:lineRule="auto"/>
        <w:ind w:left="1046" w:right="191" w:hanging="852"/>
        <w:jc w:val="both"/>
        <w:rPr>
          <w:b/>
          <w:sz w:val="30"/>
        </w:rPr>
      </w:pPr>
      <w:r>
        <w:rPr>
          <w:b/>
          <w:sz w:val="30"/>
        </w:rPr>
        <w:t>Рекомендации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по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использованию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успешных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практик,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разработанные с учетом анализа результатов мониторинга показателей:</w:t>
      </w:r>
    </w:p>
    <w:p w:rsidR="00F1662B" w:rsidRDefault="004442C9">
      <w:pPr>
        <w:pStyle w:val="1"/>
        <w:spacing w:before="0" w:line="321" w:lineRule="exact"/>
        <w:ind w:right="0"/>
      </w:pPr>
      <w:r>
        <w:t>-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выявлению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дефицитов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rPr>
          <w:spacing w:val="-2"/>
        </w:rPr>
        <w:t>работников:</w:t>
      </w:r>
    </w:p>
    <w:p w:rsidR="00F1662B" w:rsidRDefault="004442C9">
      <w:pPr>
        <w:pStyle w:val="a3"/>
        <w:spacing w:before="163"/>
        <w:ind w:firstLine="0"/>
        <w:jc w:val="left"/>
        <w:rPr>
          <w:u w:val="none"/>
        </w:rPr>
      </w:pPr>
      <w:r>
        <w:rPr>
          <w:u w:val="none"/>
        </w:rPr>
        <w:t>Материалы</w:t>
      </w:r>
      <w:r>
        <w:rPr>
          <w:spacing w:val="-7"/>
          <w:u w:val="none"/>
        </w:rPr>
        <w:t xml:space="preserve"> </w:t>
      </w:r>
      <w:r>
        <w:rPr>
          <w:u w:val="none"/>
        </w:rPr>
        <w:t>по</w:t>
      </w:r>
      <w:r>
        <w:rPr>
          <w:spacing w:val="-5"/>
          <w:u w:val="none"/>
        </w:rPr>
        <w:t xml:space="preserve"> </w:t>
      </w:r>
      <w:r>
        <w:rPr>
          <w:u w:val="none"/>
        </w:rPr>
        <w:t>оценке</w:t>
      </w:r>
      <w:r>
        <w:rPr>
          <w:spacing w:val="-6"/>
          <w:u w:val="none"/>
        </w:rPr>
        <w:t xml:space="preserve"> </w:t>
      </w:r>
      <w:r>
        <w:rPr>
          <w:u w:val="none"/>
        </w:rPr>
        <w:t>предметных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6"/>
          <w:u w:val="none"/>
        </w:rPr>
        <w:t xml:space="preserve"> </w:t>
      </w:r>
      <w:r>
        <w:rPr>
          <w:u w:val="none"/>
        </w:rPr>
        <w:t>методических</w:t>
      </w:r>
      <w:r>
        <w:rPr>
          <w:spacing w:val="-5"/>
          <w:u w:val="none"/>
        </w:rPr>
        <w:t xml:space="preserve"> </w:t>
      </w:r>
      <w:r>
        <w:rPr>
          <w:u w:val="none"/>
        </w:rPr>
        <w:t>компетенций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учителей:</w:t>
      </w:r>
    </w:p>
    <w:p w:rsidR="00F1662B" w:rsidRDefault="004442C9">
      <w:pPr>
        <w:spacing w:before="161"/>
        <w:ind w:left="113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учителей:</w:t>
      </w:r>
    </w:p>
    <w:p w:rsidR="00F1662B" w:rsidRDefault="004442C9">
      <w:pPr>
        <w:spacing w:before="1"/>
        <w:ind w:left="113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учителей:</w:t>
      </w:r>
    </w:p>
    <w:p w:rsidR="00F1662B" w:rsidRDefault="00F1662B"/>
    <w:p w:rsidR="002A6F33" w:rsidRPr="002A6F33" w:rsidRDefault="002A6F33" w:rsidP="002A6F33">
      <w:pPr>
        <w:rPr>
          <w:sz w:val="28"/>
          <w:szCs w:val="28"/>
        </w:rPr>
        <w:sectPr w:rsidR="002A6F33" w:rsidRPr="002A6F33">
          <w:pgSz w:w="11910" w:h="16840"/>
          <w:pgMar w:top="1040" w:right="1020" w:bottom="280" w:left="1020" w:header="720" w:footer="720" w:gutter="0"/>
          <w:cols w:space="720"/>
        </w:sectPr>
      </w:pPr>
      <w:hyperlink r:id="rId5" w:history="1">
        <w:r w:rsidRPr="002A6F33">
          <w:rPr>
            <w:rStyle w:val="a5"/>
            <w:sz w:val="28"/>
            <w:szCs w:val="28"/>
          </w:rPr>
          <w:t>https://ipkro.riobr.ru/tsnppm/materialy-po-otsenke-predmetnyh-i-metodicheskih-kompetentsij-uchitelej/</w:t>
        </w:r>
      </w:hyperlink>
      <w:r w:rsidRPr="002A6F33">
        <w:rPr>
          <w:sz w:val="28"/>
          <w:szCs w:val="28"/>
        </w:rPr>
        <w:t xml:space="preserve"> </w:t>
      </w:r>
    </w:p>
    <w:p w:rsidR="00F1662B" w:rsidRDefault="002A6F33" w:rsidP="00DF6B5F">
      <w:pPr>
        <w:pStyle w:val="1"/>
        <w:spacing w:before="74" w:line="360" w:lineRule="auto"/>
      </w:pPr>
      <w:r>
        <w:lastRenderedPageBreak/>
        <w:t xml:space="preserve"> </w:t>
      </w:r>
      <w:r w:rsidR="004442C9">
        <w:t>-</w:t>
      </w:r>
      <w:r w:rsidR="004442C9">
        <w:t xml:space="preserve"> по обеспечению ЦНППМ кураторами индивидуальных маршрутов и </w:t>
      </w:r>
      <w:proofErr w:type="spellStart"/>
      <w:r w:rsidR="004442C9">
        <w:rPr>
          <w:spacing w:val="-2"/>
        </w:rPr>
        <w:t>тьюторами</w:t>
      </w:r>
      <w:proofErr w:type="spellEnd"/>
      <w:r w:rsidR="004442C9">
        <w:rPr>
          <w:spacing w:val="-2"/>
        </w:rPr>
        <w:t>:</w:t>
      </w:r>
    </w:p>
    <w:p w:rsidR="00F1662B" w:rsidRDefault="004442C9">
      <w:pPr>
        <w:spacing w:before="2"/>
        <w:ind w:left="821"/>
        <w:jc w:val="both"/>
        <w:rPr>
          <w:i/>
          <w:spacing w:val="-2"/>
          <w:sz w:val="28"/>
        </w:rPr>
      </w:pPr>
      <w:r>
        <w:rPr>
          <w:i/>
          <w:sz w:val="28"/>
        </w:rPr>
        <w:t>Методический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актив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методистов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7"/>
          <w:sz w:val="28"/>
        </w:rPr>
        <w:t xml:space="preserve"> </w:t>
      </w:r>
      <w:r w:rsidR="00DF6B5F">
        <w:rPr>
          <w:i/>
          <w:spacing w:val="-2"/>
          <w:sz w:val="28"/>
        </w:rPr>
        <w:t>Ингушети</w:t>
      </w:r>
      <w:r>
        <w:rPr>
          <w:i/>
          <w:spacing w:val="-2"/>
          <w:sz w:val="28"/>
        </w:rPr>
        <w:t>я:</w:t>
      </w:r>
    </w:p>
    <w:p w:rsidR="00DF6B5F" w:rsidRDefault="00DF6B5F">
      <w:pPr>
        <w:spacing w:before="2"/>
        <w:ind w:left="821"/>
        <w:jc w:val="both"/>
        <w:rPr>
          <w:i/>
          <w:sz w:val="28"/>
        </w:rPr>
      </w:pPr>
    </w:p>
    <w:p w:rsidR="00DF6B5F" w:rsidRDefault="00DF6B5F">
      <w:pPr>
        <w:pStyle w:val="a3"/>
        <w:spacing w:before="1" w:line="360" w:lineRule="auto"/>
        <w:ind w:right="110"/>
        <w:rPr>
          <w:u w:val="none"/>
        </w:rPr>
      </w:pPr>
      <w:hyperlink r:id="rId6" w:history="1">
        <w:r w:rsidRPr="00DF6B5F">
          <w:rPr>
            <w:color w:val="0000FF"/>
          </w:rPr>
          <w:t>Положение о формировании методического актива региональных методистов</w:t>
        </w:r>
      </w:hyperlink>
    </w:p>
    <w:p w:rsidR="00DF6B5F" w:rsidRPr="00DF6B5F" w:rsidRDefault="00DF6B5F" w:rsidP="00DF6B5F">
      <w:pPr>
        <w:widowControl/>
        <w:shd w:val="clear" w:color="auto" w:fill="FFFFFF"/>
        <w:autoSpaceDE/>
        <w:autoSpaceDN/>
        <w:spacing w:after="240"/>
        <w:rPr>
          <w:rFonts w:ascii="Georgia" w:hAnsi="Georgia"/>
          <w:color w:val="555555"/>
          <w:sz w:val="24"/>
          <w:szCs w:val="24"/>
          <w:lang w:eastAsia="ru-RU"/>
        </w:rPr>
      </w:pPr>
      <w:hyperlink r:id="rId7" w:history="1">
        <w:r w:rsidRPr="00DF6B5F">
          <w:rPr>
            <w:rFonts w:ascii="Georgia" w:hAnsi="Georgia"/>
            <w:color w:val="1B3058"/>
            <w:sz w:val="24"/>
            <w:szCs w:val="24"/>
            <w:u w:val="single"/>
            <w:lang w:eastAsia="ru-RU"/>
          </w:rPr>
          <w:t>Список региональных методистов, входящие в методический актив РИ в 2022 году</w:t>
        </w:r>
      </w:hyperlink>
    </w:p>
    <w:p w:rsidR="00DF6B5F" w:rsidRPr="00DF6B5F" w:rsidRDefault="00DF6B5F" w:rsidP="00DF6B5F">
      <w:pPr>
        <w:widowControl/>
        <w:shd w:val="clear" w:color="auto" w:fill="FFFFFF"/>
        <w:autoSpaceDE/>
        <w:autoSpaceDN/>
        <w:spacing w:after="240"/>
        <w:rPr>
          <w:rFonts w:ascii="Georgia" w:hAnsi="Georgia"/>
          <w:color w:val="555555"/>
          <w:sz w:val="24"/>
          <w:szCs w:val="24"/>
          <w:lang w:eastAsia="ru-RU"/>
        </w:rPr>
      </w:pPr>
      <w:hyperlink r:id="rId8" w:history="1">
        <w:r w:rsidRPr="00DF6B5F">
          <w:rPr>
            <w:rFonts w:ascii="Georgia" w:hAnsi="Georgia"/>
            <w:color w:val="1B3058"/>
            <w:sz w:val="24"/>
            <w:szCs w:val="24"/>
            <w:u w:val="single"/>
            <w:lang w:eastAsia="ru-RU"/>
          </w:rPr>
          <w:t>План работы региональных методистов РИ на 2022 год</w:t>
        </w:r>
      </w:hyperlink>
      <w:r>
        <w:rPr>
          <w:rFonts w:ascii="Georgia" w:hAnsi="Georgia"/>
          <w:color w:val="555555"/>
          <w:sz w:val="24"/>
          <w:szCs w:val="24"/>
          <w:lang w:eastAsia="ru-RU"/>
        </w:rPr>
        <w:t xml:space="preserve"> </w:t>
      </w:r>
    </w:p>
    <w:p w:rsidR="00F1662B" w:rsidRDefault="004442C9">
      <w:pPr>
        <w:spacing w:before="74"/>
        <w:ind w:left="821"/>
        <w:jc w:val="both"/>
        <w:rPr>
          <w:i/>
          <w:spacing w:val="-2"/>
          <w:sz w:val="28"/>
        </w:rPr>
      </w:pPr>
      <w:proofErr w:type="spellStart"/>
      <w:r>
        <w:rPr>
          <w:i/>
          <w:sz w:val="28"/>
        </w:rPr>
        <w:t>Стажировочные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площадки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Центра</w:t>
      </w:r>
    </w:p>
    <w:p w:rsidR="00DF6B5F" w:rsidRDefault="00DF6B5F">
      <w:pPr>
        <w:spacing w:before="74"/>
        <w:ind w:left="821"/>
        <w:jc w:val="both"/>
        <w:rPr>
          <w:i/>
          <w:sz w:val="28"/>
        </w:rPr>
      </w:pPr>
    </w:p>
    <w:p w:rsidR="00CA2109" w:rsidRDefault="00CA2109" w:rsidP="00CA2109">
      <w:pPr>
        <w:pStyle w:val="a3"/>
        <w:ind w:left="0" w:firstLine="0"/>
        <w:jc w:val="left"/>
      </w:pPr>
      <w:hyperlink r:id="rId9" w:history="1">
        <w:r w:rsidRPr="00CF5A97">
          <w:rPr>
            <w:rStyle w:val="a5"/>
          </w:rPr>
          <w:t>https://ipkro.riobr.ru/tsnppm/stazhirovochnye-ploshhadki/</w:t>
        </w:r>
      </w:hyperlink>
      <w:r w:rsidR="00DF6B5F">
        <w:t xml:space="preserve"> </w:t>
      </w:r>
    </w:p>
    <w:p w:rsidR="00CA2109" w:rsidRDefault="00CA2109" w:rsidP="00CA2109">
      <w:pPr>
        <w:pStyle w:val="a3"/>
        <w:ind w:left="0" w:firstLine="0"/>
        <w:jc w:val="left"/>
      </w:pPr>
    </w:p>
    <w:p w:rsidR="00F1662B" w:rsidRDefault="004442C9" w:rsidP="00CA2109">
      <w:pPr>
        <w:pStyle w:val="a3"/>
        <w:ind w:left="0" w:firstLine="0"/>
        <w:jc w:val="left"/>
        <w:rPr>
          <w:spacing w:val="-2"/>
          <w:u w:val="none"/>
        </w:rPr>
      </w:pPr>
      <w:r>
        <w:rPr>
          <w:spacing w:val="-10"/>
        </w:rPr>
        <w:t>-</w:t>
      </w:r>
      <w:r>
        <w:tab/>
      </w:r>
      <w:r w:rsidRPr="00CA2109">
        <w:rPr>
          <w:u w:val="none"/>
        </w:rPr>
        <w:t>по организации повышения квалификации педагогических работников по</w:t>
      </w:r>
      <w:r w:rsidRPr="00CA2109">
        <w:rPr>
          <w:spacing w:val="-11"/>
          <w:u w:val="none"/>
        </w:rPr>
        <w:t xml:space="preserve"> </w:t>
      </w:r>
      <w:r w:rsidRPr="00CA2109">
        <w:rPr>
          <w:u w:val="none"/>
        </w:rPr>
        <w:t>вопросам</w:t>
      </w:r>
      <w:r w:rsidRPr="00CA2109">
        <w:rPr>
          <w:spacing w:val="-8"/>
          <w:u w:val="none"/>
        </w:rPr>
        <w:t xml:space="preserve"> </w:t>
      </w:r>
      <w:r w:rsidRPr="00CA2109">
        <w:rPr>
          <w:u w:val="none"/>
        </w:rPr>
        <w:t>оценки</w:t>
      </w:r>
      <w:r w:rsidRPr="00CA2109">
        <w:rPr>
          <w:spacing w:val="-10"/>
          <w:u w:val="none"/>
        </w:rPr>
        <w:t xml:space="preserve"> </w:t>
      </w:r>
      <w:r w:rsidRPr="00CA2109">
        <w:rPr>
          <w:u w:val="none"/>
        </w:rPr>
        <w:t>качества</w:t>
      </w:r>
      <w:r w:rsidRPr="00CA2109">
        <w:rPr>
          <w:spacing w:val="-8"/>
          <w:u w:val="none"/>
        </w:rPr>
        <w:t xml:space="preserve"> </w:t>
      </w:r>
      <w:r w:rsidRPr="00CA2109">
        <w:rPr>
          <w:u w:val="none"/>
        </w:rPr>
        <w:t>образов</w:t>
      </w:r>
      <w:r w:rsidRPr="00CA2109">
        <w:rPr>
          <w:u w:val="none"/>
        </w:rPr>
        <w:t>ания</w:t>
      </w:r>
      <w:r w:rsidRPr="00CA2109">
        <w:rPr>
          <w:spacing w:val="-10"/>
          <w:u w:val="none"/>
        </w:rPr>
        <w:t xml:space="preserve"> </w:t>
      </w:r>
      <w:r w:rsidRPr="00CA2109">
        <w:rPr>
          <w:u w:val="none"/>
        </w:rPr>
        <w:t>в</w:t>
      </w:r>
      <w:r w:rsidRPr="00CA2109">
        <w:rPr>
          <w:spacing w:val="-9"/>
          <w:u w:val="none"/>
        </w:rPr>
        <w:t xml:space="preserve"> </w:t>
      </w:r>
      <w:r w:rsidRPr="00CA2109">
        <w:rPr>
          <w:u w:val="none"/>
        </w:rPr>
        <w:t>образовательной</w:t>
      </w:r>
      <w:r w:rsidRPr="00CA2109">
        <w:rPr>
          <w:spacing w:val="-9"/>
          <w:u w:val="none"/>
        </w:rPr>
        <w:t xml:space="preserve"> </w:t>
      </w:r>
      <w:r w:rsidRPr="00CA2109">
        <w:rPr>
          <w:spacing w:val="-2"/>
          <w:u w:val="none"/>
        </w:rPr>
        <w:t>организации:</w:t>
      </w:r>
    </w:p>
    <w:p w:rsidR="00CA2109" w:rsidRDefault="00CA2109" w:rsidP="00CA2109">
      <w:pPr>
        <w:pStyle w:val="a3"/>
        <w:ind w:left="0" w:firstLine="0"/>
        <w:jc w:val="left"/>
      </w:pPr>
    </w:p>
    <w:p w:rsidR="00CA2109" w:rsidRPr="00CA2109" w:rsidRDefault="00CA2109" w:rsidP="00CA2109">
      <w:pPr>
        <w:pStyle w:val="a3"/>
        <w:ind w:left="0" w:firstLine="0"/>
        <w:jc w:val="left"/>
      </w:pPr>
      <w:proofErr w:type="spellStart"/>
      <w:r w:rsidRPr="00CA2109">
        <w:t>Стажировочные</w:t>
      </w:r>
      <w:proofErr w:type="spellEnd"/>
      <w:r w:rsidRPr="00CA2109">
        <w:t xml:space="preserve"> площадки Института  </w:t>
      </w:r>
      <w:hyperlink r:id="rId10" w:history="1">
        <w:r w:rsidRPr="00CA2109">
          <w:rPr>
            <w:rStyle w:val="a5"/>
          </w:rPr>
          <w:t>https://ipkro.riobr.ru/tsnppm/stazhirovochnye-ploshhadki/</w:t>
        </w:r>
      </w:hyperlink>
      <w:r w:rsidRPr="00CA2109">
        <w:t xml:space="preserve"> </w:t>
      </w:r>
    </w:p>
    <w:p w:rsidR="00CA2109" w:rsidRPr="00CA2109" w:rsidRDefault="00CA2109" w:rsidP="00CA2109">
      <w:pPr>
        <w:pStyle w:val="a3"/>
        <w:ind w:left="0" w:firstLine="0"/>
        <w:jc w:val="left"/>
      </w:pPr>
    </w:p>
    <w:p w:rsidR="00CA2109" w:rsidRPr="00CA2109" w:rsidRDefault="00CA2109" w:rsidP="00CA2109">
      <w:pPr>
        <w:pStyle w:val="a3"/>
        <w:ind w:left="0" w:firstLine="0"/>
        <w:jc w:val="left"/>
      </w:pPr>
      <w:hyperlink r:id="rId11" w:history="1">
        <w:r w:rsidRPr="00CA2109">
          <w:rPr>
            <w:b/>
            <w:bCs/>
            <w:color w:val="A41D31"/>
            <w:shd w:val="clear" w:color="auto" w:fill="FFFFFF"/>
          </w:rPr>
          <w:t>ПЛАН-ГРАФИК </w:t>
        </w:r>
        <w:r w:rsidRPr="00CA2109">
          <w:rPr>
            <w:color w:val="A41D31"/>
            <w:shd w:val="clear" w:color="auto" w:fill="FFFFFF"/>
          </w:rPr>
          <w:t>образовательных  услуг ГБОУ ДПО «ИПК РО РИ» для работников образования Республики Ингушетия на 2021-2022 год (в том числе по персонифицированной системе повышения квалификации)</w:t>
        </w:r>
      </w:hyperlink>
    </w:p>
    <w:p w:rsidR="00CA2109" w:rsidRPr="00CA2109" w:rsidRDefault="00CA2109" w:rsidP="00CA2109">
      <w:pPr>
        <w:pStyle w:val="a6"/>
        <w:rPr>
          <w:sz w:val="28"/>
          <w:szCs w:val="28"/>
        </w:rPr>
      </w:pPr>
      <w:hyperlink r:id="rId12" w:history="1">
        <w:r w:rsidRPr="00CA2109">
          <w:rPr>
            <w:rStyle w:val="a7"/>
            <w:color w:val="0000FF"/>
            <w:sz w:val="28"/>
            <w:szCs w:val="28"/>
          </w:rPr>
          <w:t>Анкета «Мониторинг качества преподавания и организации учебного процесса"</w:t>
        </w:r>
      </w:hyperlink>
    </w:p>
    <w:p w:rsidR="00CA2109" w:rsidRDefault="00CA2109" w:rsidP="00CA2109">
      <w:pPr>
        <w:pStyle w:val="a6"/>
        <w:rPr>
          <w:sz w:val="28"/>
          <w:szCs w:val="28"/>
        </w:rPr>
      </w:pPr>
      <w:hyperlink r:id="rId13" w:history="1">
        <w:r w:rsidRPr="00CA2109">
          <w:rPr>
            <w:rStyle w:val="a7"/>
            <w:color w:val="0000FF"/>
            <w:sz w:val="28"/>
            <w:szCs w:val="28"/>
          </w:rPr>
          <w:t>Критерии оценки процесса перехода в эффективный режим работы</w:t>
        </w:r>
      </w:hyperlink>
    </w:p>
    <w:p w:rsidR="00CA2109" w:rsidRPr="00CA2109" w:rsidRDefault="00CA2109" w:rsidP="00CA2109">
      <w:pPr>
        <w:pStyle w:val="a6"/>
        <w:rPr>
          <w:sz w:val="28"/>
          <w:szCs w:val="28"/>
        </w:rPr>
      </w:pPr>
    </w:p>
    <w:p w:rsidR="00F1662B" w:rsidRDefault="004442C9">
      <w:pPr>
        <w:pStyle w:val="1"/>
        <w:spacing w:before="251" w:line="360" w:lineRule="auto"/>
        <w:ind w:right="115"/>
      </w:pPr>
      <w:r>
        <w:t>- по организации повышения квалификации педагогических работников школ с низкими результатами обучения и/или школ, функционирующих в неблагоприятных социальных условиях:</w:t>
      </w:r>
    </w:p>
    <w:p w:rsidR="00F1662B" w:rsidRDefault="004442C9">
      <w:pPr>
        <w:spacing w:before="1" w:line="360" w:lineRule="auto"/>
        <w:ind w:left="113" w:right="115" w:firstLine="708"/>
        <w:jc w:val="both"/>
        <w:rPr>
          <w:i/>
          <w:spacing w:val="-2"/>
          <w:sz w:val="28"/>
        </w:rPr>
      </w:pPr>
      <w:r>
        <w:rPr>
          <w:i/>
          <w:sz w:val="28"/>
        </w:rPr>
        <w:t>Адресные рекомендации для школ с низкими образовательными результатами и школ, функцио</w:t>
      </w:r>
      <w:r>
        <w:rPr>
          <w:i/>
          <w:sz w:val="28"/>
        </w:rPr>
        <w:t xml:space="preserve">нирующих в неблагоприятных социальных </w:t>
      </w:r>
      <w:r>
        <w:rPr>
          <w:i/>
          <w:spacing w:val="-2"/>
          <w:sz w:val="28"/>
        </w:rPr>
        <w:t>условиях:</w:t>
      </w:r>
    </w:p>
    <w:p w:rsidR="00CA2109" w:rsidRDefault="00CA2109" w:rsidP="00CA2109">
      <w:pPr>
        <w:widowControl/>
        <w:shd w:val="clear" w:color="auto" w:fill="FFFFFF"/>
        <w:autoSpaceDE/>
        <w:autoSpaceDN/>
        <w:jc w:val="both"/>
        <w:outlineLvl w:val="0"/>
        <w:rPr>
          <w:b/>
          <w:bCs/>
          <w:color w:val="555555"/>
          <w:kern w:val="36"/>
          <w:sz w:val="28"/>
          <w:szCs w:val="28"/>
          <w:lang w:eastAsia="ru-RU"/>
        </w:rPr>
      </w:pPr>
      <w:hyperlink r:id="rId14" w:history="1">
        <w:r w:rsidRPr="00CA2109">
          <w:rPr>
            <w:b/>
            <w:bCs/>
            <w:color w:val="003366"/>
            <w:kern w:val="36"/>
            <w:sz w:val="28"/>
            <w:szCs w:val="28"/>
            <w:u w:val="single"/>
            <w:lang w:eastAsia="ru-RU"/>
          </w:rPr>
          <w:t>МЕТОДИЧЕСКИЕ РЕКОМЕНДАЦИИ  “Профессиональная траектория директора школы: от качества управления к качеству образования</w:t>
        </w:r>
        <w:r w:rsidRPr="00CA2109">
          <w:rPr>
            <w:b/>
            <w:bCs/>
            <w:i/>
            <w:iCs/>
            <w:color w:val="003366"/>
            <w:kern w:val="36"/>
            <w:sz w:val="28"/>
            <w:szCs w:val="28"/>
            <w:u w:val="single"/>
            <w:lang w:eastAsia="ru-RU"/>
          </w:rPr>
          <w:t>” </w:t>
        </w:r>
        <w:r w:rsidRPr="00CA2109">
          <w:rPr>
            <w:b/>
            <w:bCs/>
            <w:color w:val="003366"/>
            <w:kern w:val="36"/>
            <w:sz w:val="28"/>
            <w:szCs w:val="28"/>
            <w:u w:val="single"/>
            <w:lang w:eastAsia="ru-RU"/>
          </w:rPr>
          <w:t> (</w:t>
        </w:r>
        <w:r w:rsidRPr="00CA2109">
          <w:rPr>
            <w:b/>
            <w:bCs/>
            <w:i/>
            <w:iCs/>
            <w:color w:val="003366"/>
            <w:kern w:val="36"/>
            <w:sz w:val="28"/>
            <w:szCs w:val="28"/>
            <w:u w:val="single"/>
            <w:lang w:eastAsia="ru-RU"/>
          </w:rPr>
          <w:t>разработаны в рамках реализации проекта «500+» для руководящих кадров общеобразовательных организаций)</w:t>
        </w:r>
        <w:r w:rsidRPr="00CA2109">
          <w:rPr>
            <w:b/>
            <w:bCs/>
            <w:color w:val="003366"/>
            <w:kern w:val="36"/>
            <w:sz w:val="28"/>
            <w:szCs w:val="28"/>
            <w:u w:val="single"/>
            <w:lang w:eastAsia="ru-RU"/>
          </w:rPr>
          <w:t> </w:t>
        </w:r>
      </w:hyperlink>
    </w:p>
    <w:p w:rsidR="00CA2109" w:rsidRPr="00CA2109" w:rsidRDefault="00CA2109" w:rsidP="00CA2109">
      <w:pPr>
        <w:widowControl/>
        <w:shd w:val="clear" w:color="auto" w:fill="FFFFFF"/>
        <w:autoSpaceDE/>
        <w:autoSpaceDN/>
        <w:jc w:val="both"/>
        <w:outlineLvl w:val="0"/>
        <w:rPr>
          <w:b/>
          <w:bCs/>
          <w:color w:val="555555"/>
          <w:kern w:val="36"/>
          <w:sz w:val="28"/>
          <w:szCs w:val="28"/>
          <w:lang w:eastAsia="ru-RU"/>
        </w:rPr>
      </w:pPr>
    </w:p>
    <w:p w:rsidR="00CA2109" w:rsidRPr="00CA2109" w:rsidRDefault="00CA2109" w:rsidP="00CA2109">
      <w:pPr>
        <w:widowControl/>
        <w:shd w:val="clear" w:color="auto" w:fill="FFFFFF"/>
        <w:autoSpaceDE/>
        <w:autoSpaceDN/>
        <w:spacing w:after="240"/>
        <w:jc w:val="both"/>
        <w:rPr>
          <w:color w:val="555555"/>
          <w:sz w:val="28"/>
          <w:szCs w:val="28"/>
          <w:lang w:eastAsia="ru-RU"/>
        </w:rPr>
      </w:pPr>
      <w:hyperlink r:id="rId15" w:history="1">
        <w:r w:rsidRPr="00CA2109">
          <w:rPr>
            <w:color w:val="1B3058"/>
            <w:sz w:val="28"/>
            <w:szCs w:val="28"/>
            <w:u w:val="single"/>
            <w:lang w:eastAsia="ru-RU"/>
          </w:rPr>
          <w:t>МЕТОДИЧЕСКИЕ РЕКОМЕНДАЦИИ ПО ФУНКЦИОНИРОВАНИЮ ВНУТРЕННЕЙ СИСТЕМЫ ОЦЕНКИ КАЧЕСТВА ОБРАЗОВАНИЯ В ОБЩЕОБРАЗОВАТЕЛЬНЫХ ОРГАНИЗАЦИЯХ</w:t>
        </w:r>
      </w:hyperlink>
    </w:p>
    <w:p w:rsidR="00CA2109" w:rsidRPr="00CA2109" w:rsidRDefault="00CA2109" w:rsidP="00CA2109">
      <w:pPr>
        <w:widowControl/>
        <w:shd w:val="clear" w:color="auto" w:fill="FFFFFF"/>
        <w:autoSpaceDE/>
        <w:autoSpaceDN/>
        <w:spacing w:after="240"/>
        <w:jc w:val="both"/>
        <w:rPr>
          <w:color w:val="555555"/>
          <w:sz w:val="28"/>
          <w:szCs w:val="28"/>
          <w:lang w:eastAsia="ru-RU"/>
        </w:rPr>
      </w:pPr>
      <w:hyperlink r:id="rId16" w:history="1">
        <w:r w:rsidRPr="00CA2109">
          <w:rPr>
            <w:color w:val="A41D31"/>
            <w:sz w:val="28"/>
            <w:szCs w:val="28"/>
            <w:u w:val="single"/>
            <w:lang w:eastAsia="ru-RU"/>
          </w:rPr>
          <w:t>Методические рекомендации по функционированию внутренней системы оценки качества образования в школе.</w:t>
        </w:r>
      </w:hyperlink>
    </w:p>
    <w:p w:rsidR="00CA2109" w:rsidRPr="00CA2109" w:rsidRDefault="00CA2109" w:rsidP="00CA2109">
      <w:pPr>
        <w:widowControl/>
        <w:shd w:val="clear" w:color="auto" w:fill="FFFFFF"/>
        <w:autoSpaceDE/>
        <w:autoSpaceDN/>
        <w:spacing w:after="240"/>
        <w:jc w:val="both"/>
        <w:rPr>
          <w:color w:val="555555"/>
          <w:sz w:val="28"/>
          <w:szCs w:val="28"/>
          <w:lang w:eastAsia="ru-RU"/>
        </w:rPr>
      </w:pPr>
      <w:hyperlink r:id="rId17" w:history="1">
        <w:r w:rsidRPr="00CA2109">
          <w:rPr>
            <w:color w:val="1B3058"/>
            <w:sz w:val="28"/>
            <w:szCs w:val="28"/>
            <w:u w:val="single"/>
            <w:lang w:eastAsia="ru-RU"/>
          </w:rPr>
          <w:t>Методические рекомендации по анализу и оценке результатов различных оценочных процедур внутреннего и внешнего мониторинга качества образования</w:t>
        </w:r>
      </w:hyperlink>
    </w:p>
    <w:p w:rsidR="00CA2109" w:rsidRPr="00CA2109" w:rsidRDefault="00CA2109" w:rsidP="00CA2109">
      <w:pPr>
        <w:widowControl/>
        <w:shd w:val="clear" w:color="auto" w:fill="FFFFFF"/>
        <w:autoSpaceDE/>
        <w:autoSpaceDN/>
        <w:spacing w:after="240"/>
        <w:rPr>
          <w:color w:val="555555"/>
          <w:sz w:val="28"/>
          <w:szCs w:val="28"/>
          <w:lang w:eastAsia="ru-RU"/>
        </w:rPr>
      </w:pPr>
      <w:hyperlink r:id="rId18" w:history="1"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Методические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рекомендации для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руководителей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общеобразовательных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организаций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по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организации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наставничества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в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образовательной</w:t>
        </w:r>
        <w:r w:rsidRPr="00CA2109">
          <w:rPr>
            <w:color w:val="1B3058"/>
            <w:sz w:val="28"/>
            <w:szCs w:val="28"/>
            <w:u w:val="single"/>
            <w:lang w:eastAsia="ru-RU"/>
          </w:rPr>
          <w:t> </w:t>
        </w:r>
        <w:r w:rsidRPr="00CA2109">
          <w:rPr>
            <w:b/>
            <w:bCs/>
            <w:color w:val="1B3058"/>
            <w:sz w:val="28"/>
            <w:szCs w:val="28"/>
            <w:u w:val="single"/>
            <w:lang w:eastAsia="ru-RU"/>
          </w:rPr>
          <w:t>организации </w:t>
        </w:r>
      </w:hyperlink>
    </w:p>
    <w:p w:rsidR="00CA2109" w:rsidRPr="00CA2109" w:rsidRDefault="00CA2109" w:rsidP="00CA2109">
      <w:pPr>
        <w:widowControl/>
        <w:shd w:val="clear" w:color="auto" w:fill="FFFFFF"/>
        <w:autoSpaceDE/>
        <w:autoSpaceDN/>
        <w:spacing w:after="240"/>
        <w:rPr>
          <w:color w:val="555555"/>
          <w:sz w:val="28"/>
          <w:szCs w:val="28"/>
          <w:lang w:eastAsia="ru-RU"/>
        </w:rPr>
      </w:pPr>
      <w:hyperlink r:id="rId19" w:history="1">
        <w:r w:rsidRPr="00CA2109">
          <w:rPr>
            <w:color w:val="1B3058"/>
            <w:sz w:val="28"/>
            <w:szCs w:val="28"/>
            <w:u w:val="single"/>
            <w:lang w:eastAsia="ru-RU"/>
          </w:rPr>
          <w:t>МЕТОДИЧЕСКИЕ РЕКОМЕНДАЦИИ ПО РАЗРАБОТКЕ МУНИЦИПАЛЬНЫХ ПРОГРАММ ПОДДЕРЖКИ ШКОЛ С НИЗКИМИ ОБРАЗОВАТЕЛЬНЫМИ РЕЗУЛЬТАТАМИ</w:t>
        </w:r>
      </w:hyperlink>
    </w:p>
    <w:p w:rsidR="00CA2109" w:rsidRDefault="00CA2109">
      <w:pPr>
        <w:spacing w:before="1" w:line="360" w:lineRule="auto"/>
        <w:ind w:left="113" w:right="115" w:firstLine="708"/>
        <w:jc w:val="both"/>
        <w:rPr>
          <w:i/>
          <w:spacing w:val="-2"/>
          <w:sz w:val="28"/>
        </w:rPr>
      </w:pPr>
    </w:p>
    <w:p w:rsidR="00F1662B" w:rsidRDefault="004442C9">
      <w:pPr>
        <w:pStyle w:val="1"/>
        <w:numPr>
          <w:ilvl w:val="0"/>
          <w:numId w:val="1"/>
        </w:numPr>
        <w:tabs>
          <w:tab w:val="left" w:pos="413"/>
          <w:tab w:val="left" w:pos="414"/>
        </w:tabs>
        <w:spacing w:line="360" w:lineRule="auto"/>
        <w:ind w:firstLine="0"/>
        <w:jc w:val="left"/>
      </w:pPr>
      <w:r>
        <w:t>по организации повышения квалификации педагогических работников по вопросам организации воспитания обучающихся:</w:t>
      </w:r>
    </w:p>
    <w:p w:rsidR="004442C9" w:rsidRDefault="004442C9" w:rsidP="004442C9">
      <w:pPr>
        <w:pStyle w:val="a6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Georgia" w:hAnsi="Georgia"/>
          <w:color w:val="555555"/>
        </w:rPr>
      </w:pPr>
      <w:hyperlink r:id="rId20" w:history="1">
        <w:r>
          <w:rPr>
            <w:rStyle w:val="a5"/>
            <w:rFonts w:ascii="Georgia" w:hAnsi="Georgia"/>
            <w:color w:val="1B3058"/>
          </w:rPr>
          <w:t>Примерная программа воспитания на 2021-2023 гг.</w:t>
        </w:r>
      </w:hyperlink>
    </w:p>
    <w:p w:rsidR="004442C9" w:rsidRDefault="004442C9" w:rsidP="004442C9">
      <w:pPr>
        <w:pStyle w:val="a6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Georgia" w:hAnsi="Georgia"/>
          <w:color w:val="555555"/>
        </w:rPr>
      </w:pPr>
      <w:hyperlink r:id="rId21" w:history="1">
        <w:r>
          <w:rPr>
            <w:rStyle w:val="a5"/>
            <w:rFonts w:ascii="Georgia" w:hAnsi="Georgia"/>
            <w:color w:val="1B3058"/>
          </w:rPr>
          <w:t>Методические рекомендации по разработке Программы воспитания в 2021 году</w:t>
        </w:r>
      </w:hyperlink>
    </w:p>
    <w:p w:rsidR="004442C9" w:rsidRDefault="004442C9" w:rsidP="004442C9">
      <w:pPr>
        <w:pStyle w:val="a6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Georgia" w:hAnsi="Georgia"/>
          <w:color w:val="555555"/>
        </w:rPr>
      </w:pPr>
      <w:hyperlink r:id="rId22" w:history="1">
        <w:r>
          <w:rPr>
            <w:rStyle w:val="a5"/>
            <w:rFonts w:ascii="Georgia" w:hAnsi="Georgia"/>
            <w:color w:val="A41D31"/>
          </w:rPr>
          <w:t>Начальникам управлений образования муниципальных районов и городских округов Республики Ингушетия</w:t>
        </w:r>
      </w:hyperlink>
    </w:p>
    <w:p w:rsidR="00F1662B" w:rsidRPr="004442C9" w:rsidRDefault="004442C9" w:rsidP="00044E9B">
      <w:pPr>
        <w:pStyle w:val="a6"/>
        <w:numPr>
          <w:ilvl w:val="0"/>
          <w:numId w:val="1"/>
        </w:numPr>
        <w:shd w:val="clear" w:color="auto" w:fill="FFFFFF"/>
        <w:tabs>
          <w:tab w:val="left" w:pos="413"/>
          <w:tab w:val="left" w:pos="414"/>
        </w:tabs>
        <w:spacing w:before="164" w:beforeAutospacing="0" w:after="240" w:afterAutospacing="0" w:line="360" w:lineRule="auto"/>
        <w:ind w:right="98"/>
      </w:pPr>
      <w:hyperlink r:id="rId23" w:history="1">
        <w:r w:rsidRPr="004442C9">
          <w:rPr>
            <w:rStyle w:val="a5"/>
            <w:rFonts w:ascii="Georgia" w:hAnsi="Georgia"/>
            <w:color w:val="1B3058"/>
          </w:rPr>
          <w:t>Приказ №31-1 от 20.05.2021г.</w:t>
        </w:r>
      </w:hyperlink>
      <w:bookmarkStart w:id="0" w:name="_GoBack"/>
      <w:bookmarkEnd w:id="0"/>
    </w:p>
    <w:sectPr w:rsidR="00F1662B" w:rsidRPr="004442C9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5C9"/>
    <w:multiLevelType w:val="hybridMultilevel"/>
    <w:tmpl w:val="D490503A"/>
    <w:lvl w:ilvl="0" w:tplc="50B0D2FC">
      <w:numFmt w:val="bullet"/>
      <w:lvlText w:val="-"/>
      <w:lvlJc w:val="left"/>
      <w:pPr>
        <w:ind w:left="113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ED837EA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2" w:tplc="7D48AC7A">
      <w:numFmt w:val="bullet"/>
      <w:lvlText w:val="•"/>
      <w:lvlJc w:val="left"/>
      <w:pPr>
        <w:ind w:left="2069" w:hanging="300"/>
      </w:pPr>
      <w:rPr>
        <w:rFonts w:hint="default"/>
        <w:lang w:val="ru-RU" w:eastAsia="en-US" w:bidi="ar-SA"/>
      </w:rPr>
    </w:lvl>
    <w:lvl w:ilvl="3" w:tplc="5394B2A4">
      <w:numFmt w:val="bullet"/>
      <w:lvlText w:val="•"/>
      <w:lvlJc w:val="left"/>
      <w:pPr>
        <w:ind w:left="3043" w:hanging="300"/>
      </w:pPr>
      <w:rPr>
        <w:rFonts w:hint="default"/>
        <w:lang w:val="ru-RU" w:eastAsia="en-US" w:bidi="ar-SA"/>
      </w:rPr>
    </w:lvl>
    <w:lvl w:ilvl="4" w:tplc="CCA0CE3C">
      <w:numFmt w:val="bullet"/>
      <w:lvlText w:val="•"/>
      <w:lvlJc w:val="left"/>
      <w:pPr>
        <w:ind w:left="4018" w:hanging="300"/>
      </w:pPr>
      <w:rPr>
        <w:rFonts w:hint="default"/>
        <w:lang w:val="ru-RU" w:eastAsia="en-US" w:bidi="ar-SA"/>
      </w:rPr>
    </w:lvl>
    <w:lvl w:ilvl="5" w:tplc="7B8E5E04">
      <w:numFmt w:val="bullet"/>
      <w:lvlText w:val="•"/>
      <w:lvlJc w:val="left"/>
      <w:pPr>
        <w:ind w:left="4993" w:hanging="300"/>
      </w:pPr>
      <w:rPr>
        <w:rFonts w:hint="default"/>
        <w:lang w:val="ru-RU" w:eastAsia="en-US" w:bidi="ar-SA"/>
      </w:rPr>
    </w:lvl>
    <w:lvl w:ilvl="6" w:tplc="2D0A5FB0">
      <w:numFmt w:val="bullet"/>
      <w:lvlText w:val="•"/>
      <w:lvlJc w:val="left"/>
      <w:pPr>
        <w:ind w:left="5967" w:hanging="300"/>
      </w:pPr>
      <w:rPr>
        <w:rFonts w:hint="default"/>
        <w:lang w:val="ru-RU" w:eastAsia="en-US" w:bidi="ar-SA"/>
      </w:rPr>
    </w:lvl>
    <w:lvl w:ilvl="7" w:tplc="412A370A">
      <w:numFmt w:val="bullet"/>
      <w:lvlText w:val="•"/>
      <w:lvlJc w:val="left"/>
      <w:pPr>
        <w:ind w:left="6942" w:hanging="300"/>
      </w:pPr>
      <w:rPr>
        <w:rFonts w:hint="default"/>
        <w:lang w:val="ru-RU" w:eastAsia="en-US" w:bidi="ar-SA"/>
      </w:rPr>
    </w:lvl>
    <w:lvl w:ilvl="8" w:tplc="F19A65B0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1662B"/>
    <w:rsid w:val="002A6F33"/>
    <w:rsid w:val="004442C9"/>
    <w:rsid w:val="00C5215B"/>
    <w:rsid w:val="00CA2109"/>
    <w:rsid w:val="00DF6B5F"/>
    <w:rsid w:val="00F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438D"/>
  <w15:docId w15:val="{F394A7EC-8F29-469D-9352-385E1438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3"/>
      <w:ind w:left="113" w:righ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pPr>
      <w:spacing w:before="253"/>
      <w:ind w:left="113" w:righ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A6F3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1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wp-content/uploads/sites/70/2021/07/Plan-raboty-regionalnyh-metodistov-RI-na-2022-god.pdf" TargetMode="External"/><Relationship Id="rId13" Type="http://schemas.openxmlformats.org/officeDocument/2006/relationships/hyperlink" Target="https://ipkro.riobr.ru/wp-content/uploads/sites/70/2022/07/Kriterii_otsenki_protsessa_perehoda_v_effektivnyj_rezhim_raboty.docx" TargetMode="External"/><Relationship Id="rId18" Type="http://schemas.openxmlformats.org/officeDocument/2006/relationships/hyperlink" Target="https://ipkro.riobr.ru/wp-content/uploads/sites/70/2021/06/2._metodicheskie_rekomendacii_dlya_rukovoditeley_oo_po_nastavnichestvu-1-pdf.i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kro.riobr.ru/wp-content/uploads/sites/70/2021/08/Metodicheskie-rekomendatsii-po-razrabotke-Programmy-vospitaniya-v-2021-godu.docx" TargetMode="External"/><Relationship Id="rId7" Type="http://schemas.openxmlformats.org/officeDocument/2006/relationships/hyperlink" Target="https://ipkro.riobr.ru/wp-content/uploads/sites/70/2021/07/Spisok-regionalnyh-metodistov-vhodyashhie-v-metodicheskij-aktiv-RI-v-2022-godu.pdf" TargetMode="External"/><Relationship Id="rId12" Type="http://schemas.openxmlformats.org/officeDocument/2006/relationships/hyperlink" Target="https://ipkro.riobr.ru/wp-content/uploads/sites/70/2022/07/Anketa_Monitoring_kachestva_prepodavaniya_i_organizatsii_uchebnogo.docx" TargetMode="External"/><Relationship Id="rId17" Type="http://schemas.openxmlformats.org/officeDocument/2006/relationships/hyperlink" Target="https://ipkro.riobr.ru/wp-content/uploads/sites/70/2021/06/Rekomendatsii-po-analizu-i-otsenke-rezultatov-razlichnyh-otsenochnyh-protsedur-vnutrennego-i-vneshnego-monitoringa-kachestva-obrazovaniya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pkro.riobr.ru/wp-content/uploads/sites/70/2021/06/MET.REK._VSOKO-1.docx" TargetMode="External"/><Relationship Id="rId20" Type="http://schemas.openxmlformats.org/officeDocument/2006/relationships/hyperlink" Target="https://ipkro.riobr.ru/wp-content/uploads/sites/70/2021/08/Primernaya-programma-vospitaniya-na-2021-2023-gg.-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kro.riobr.ru/wp-content/uploads/sites/70/2022/05/Polozhenie_o_RMA_2-1.docx" TargetMode="External"/><Relationship Id="rId11" Type="http://schemas.openxmlformats.org/officeDocument/2006/relationships/hyperlink" Target="https://ipkro.riobr.ru/wp-content/uploads/sites/70/2022/07/obshhij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pkro.riobr.ru/tsnppm/materialy-po-otsenke-predmetnyh-i-metodicheskih-kompetentsij-uchitelej/" TargetMode="External"/><Relationship Id="rId15" Type="http://schemas.openxmlformats.org/officeDocument/2006/relationships/hyperlink" Target="https://ipkro.riobr.ru/wp-content/uploads/sites/70/2021/06/METODICHESKIE-REKOMENDATSII-po-razrabotke-VSOKO-1.docx" TargetMode="External"/><Relationship Id="rId23" Type="http://schemas.openxmlformats.org/officeDocument/2006/relationships/hyperlink" Target="https://ipkro.riobr.ru/wp-content/uploads/sites/70/2021/08/prikaz-31-1.pdf" TargetMode="External"/><Relationship Id="rId10" Type="http://schemas.openxmlformats.org/officeDocument/2006/relationships/hyperlink" Target="https://ipkro.riobr.ru/tsnppm/stazhirovochnye-ploshhadki/" TargetMode="External"/><Relationship Id="rId19" Type="http://schemas.openxmlformats.org/officeDocument/2006/relationships/hyperlink" Target="https://ipkro.riobr.ru/wp-content/uploads/sites/70/2021/09/METODICHESKIE-REKOMENDATSII-PO-RAZRABOTKE-MUNITSIPALNYH-PROGRAMM-PODDERZHKI-SHKOL-S-NIZKIMI-OBRAZOVATELNYMI-REZULTATAMI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kro.riobr.ru/tsnppm/stazhirovochnye-ploshhadki/" TargetMode="External"/><Relationship Id="rId14" Type="http://schemas.openxmlformats.org/officeDocument/2006/relationships/hyperlink" Target="https://ipkro.riobr.ru/wp-content/uploads/sites/70/2022/06/Met.rek._Prof.kompetentnost-direktora-shkoly.docx" TargetMode="External"/><Relationship Id="rId22" Type="http://schemas.openxmlformats.org/officeDocument/2006/relationships/hyperlink" Target="https://ipkro.riobr.ru/wp-content/uploads/sites/70/2021/08/Nachalnikam-upravlenij-obrazovaniya-munitsipalnyh-rajonov-i-gorodskih-okrugov-Respubliki-Ingusheti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5</cp:revision>
  <dcterms:created xsi:type="dcterms:W3CDTF">2022-07-29T06:35:00Z</dcterms:created>
  <dcterms:modified xsi:type="dcterms:W3CDTF">2022-07-30T13:22:00Z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