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C6" w:rsidRDefault="00C525EA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Раздел 3. АНАЛИЗ РЕЗУЛЬТАТОВ ВЫПОЛНЕНИЯ ЗАДАНИЙ КИМ</w:t>
      </w:r>
    </w:p>
    <w:p w:rsidR="00E971C6" w:rsidRDefault="00E971C6">
      <w:pPr>
        <w:pStyle w:val="af8"/>
        <w:keepNext/>
        <w:keepLines/>
        <w:numPr>
          <w:ilvl w:val="0"/>
          <w:numId w:val="2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:rsidR="00E971C6" w:rsidRDefault="00C525EA" w:rsidP="004A1BA4">
      <w:pPr>
        <w:pStyle w:val="3"/>
        <w:numPr>
          <w:ilvl w:val="1"/>
          <w:numId w:val="9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Краткая характеристика КИМ по учебному предмету</w:t>
      </w:r>
    </w:p>
    <w:p w:rsidR="00E971C6" w:rsidRDefault="00C525EA">
      <w:pPr>
        <w:ind w:left="-426" w:firstLine="852"/>
        <w:contextualSpacing/>
        <w:jc w:val="both"/>
        <w:rPr>
          <w:i/>
          <w:iCs/>
        </w:rPr>
      </w:pPr>
      <w:r>
        <w:rPr>
          <w:i/>
          <w:iCs/>
        </w:rPr>
        <w:t xml:space="preserve">Описываются содержательные особенности, которые можно выделить </w:t>
      </w:r>
      <w:r>
        <w:rPr>
          <w:b/>
          <w:bCs/>
          <w:i/>
          <w:iCs/>
        </w:rPr>
        <w:t>на основе использованных в регионе вариантов КИМ по учебному предмету</w:t>
      </w:r>
      <w:r>
        <w:rPr>
          <w:i/>
          <w:iCs/>
        </w:rPr>
        <w:t xml:space="preserve"> в 2022 году </w:t>
      </w:r>
      <w:r>
        <w:rPr>
          <w:i/>
          <w:iCs/>
        </w:rPr>
        <w:br/>
        <w:t>(с учетом всех заданий, всех типов заданий) в сравнении с КИМ по данному учебному предмету прошлых лет.</w:t>
      </w:r>
    </w:p>
    <w:p w:rsidR="00E971C6" w:rsidRDefault="00E971C6">
      <w:pPr>
        <w:ind w:left="-426" w:firstLine="852"/>
        <w:contextualSpacing/>
        <w:jc w:val="both"/>
        <w:rPr>
          <w:i/>
          <w:iCs/>
        </w:rPr>
      </w:pPr>
    </w:p>
    <w:p w:rsidR="00E971C6" w:rsidRDefault="00C525EA">
      <w:pPr>
        <w:contextualSpacing/>
        <w:jc w:val="both"/>
      </w:pPr>
      <w:r>
        <w:t xml:space="preserve">В КИМах произошли некоторые изменения: 1. Количество заданий увеличено с 20 до 21. Все задания предусматривают краткий ответ. Задания по алгебре  и н.а – 16, по геометрии – 5. </w:t>
      </w:r>
    </w:p>
    <w:p w:rsidR="00E971C6" w:rsidRDefault="00C525EA">
      <w:pPr>
        <w:pStyle w:val="af8"/>
        <w:numPr>
          <w:ilvl w:val="0"/>
          <w:numId w:val="4"/>
        </w:numPr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 за выполнение всей работы - 21</w:t>
      </w:r>
    </w:p>
    <w:p w:rsidR="00E971C6" w:rsidRDefault="00C525EA">
      <w:pPr>
        <w:pStyle w:val="af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произошли перестановки в заданиях: убрали задания 2 на преобразования и вычисления. Добавили задания 5, которые проверят умение выполнять действия с фигурами. Добавили задания 20 – на знание простейших математических моделей. </w:t>
      </w:r>
    </w:p>
    <w:p w:rsidR="00E971C6" w:rsidRDefault="00C525EA">
      <w:pPr>
        <w:pStyle w:val="af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целом задания по математике (базовые) носят более практический характер, они проверяют навыки, которые потом пригодятся в жизни. Экзамен длится 180 минут. </w:t>
      </w:r>
    </w:p>
    <w:p w:rsidR="00E971C6" w:rsidRDefault="00C525EA" w:rsidP="005129D6">
      <w:pPr>
        <w:pStyle w:val="3"/>
        <w:numPr>
          <w:ilvl w:val="1"/>
          <w:numId w:val="9"/>
        </w:numPr>
        <w:tabs>
          <w:tab w:val="left" w:pos="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Анализ выполнения заданий КИМ</w:t>
      </w:r>
    </w:p>
    <w:p w:rsidR="00E971C6" w:rsidRDefault="00E971C6">
      <w:pPr>
        <w:ind w:left="-426" w:firstLine="852"/>
        <w:contextualSpacing/>
        <w:jc w:val="both"/>
        <w:rPr>
          <w:b/>
          <w:i/>
          <w:iCs/>
        </w:rPr>
      </w:pPr>
    </w:p>
    <w:p w:rsidR="00E971C6" w:rsidRDefault="00C525EA">
      <w:pPr>
        <w:ind w:left="-426" w:firstLine="852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 разделе 3.2 выполняется на основе результатов всего массива участников основного периода ЕГЭ по учебному предмету в субъекте Российской Федерации вне зависимости от выполненного участником экзамена варианта КИМ.</w:t>
      </w:r>
    </w:p>
    <w:p w:rsidR="00E971C6" w:rsidRDefault="00C525EA">
      <w:pPr>
        <w:ind w:left="-426" w:firstLine="965"/>
        <w:jc w:val="both"/>
        <w:rPr>
          <w:i/>
          <w:iCs/>
        </w:rPr>
      </w:pPr>
      <w:r>
        <w:rPr>
          <w:i/>
          <w:iCs/>
        </w:rPr>
        <w:t xml:space="preserve"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 </w:t>
      </w:r>
    </w:p>
    <w:p w:rsidR="00E971C6" w:rsidRDefault="00C525EA">
      <w:pPr>
        <w:ind w:left="-426" w:firstLine="965"/>
        <w:jc w:val="both"/>
        <w:rPr>
          <w:i/>
          <w:iCs/>
        </w:rPr>
      </w:pPr>
      <w:r>
        <w:rPr>
          <w:i/>
          <w:iCs/>
        </w:rPr>
        <w:t xml:space="preserve">Анализ проводится не только на основе среднего процента выполнения, но и на основе результатов выполнения каждого задания группами участников ЕГЭ с разными уровнями подготовки (не достигшие минимального балла, группы с результатами от минимального балла до 60, от 61 до 80 и от 81 до 100 т.б.). Рекомендуется рассматривать задания, проверяющие один и тот же элемент содержания / вид деятельности, в совокупности с учетом их уровней сложности. </w:t>
      </w:r>
      <w:r>
        <w:rPr>
          <w:i/>
        </w:rPr>
        <w:t>При статистическом анализе выполнения заданий, система оценивания которых предполагает оценивание по нескольким критериям (например, в КИМ по русскому языку задание с развернутым ответом предполагает оценивание по 12 критериям), следует считать единицами анализа отдельные критерии.</w:t>
      </w:r>
    </w:p>
    <w:p w:rsidR="00E971C6" w:rsidRPr="005129D6" w:rsidRDefault="00C525EA" w:rsidP="005129D6">
      <w:pPr>
        <w:pStyle w:val="3"/>
        <w:numPr>
          <w:ilvl w:val="2"/>
          <w:numId w:val="9"/>
        </w:numPr>
        <w:jc w:val="center"/>
        <w:rPr>
          <w:rFonts w:ascii="Times New Roman" w:hAnsi="Times New Roman"/>
          <w:bCs w:val="0"/>
        </w:rPr>
      </w:pPr>
      <w:r w:rsidRPr="005129D6">
        <w:rPr>
          <w:rFonts w:ascii="Times New Roman" w:hAnsi="Times New Roman"/>
          <w:bCs w:val="0"/>
        </w:rPr>
        <w:t>Статистический анализ выполнения заданий КИМ в 2022 году</w:t>
      </w:r>
    </w:p>
    <w:p w:rsidR="00E971C6" w:rsidRDefault="00E971C6">
      <w:pPr>
        <w:ind w:left="-426" w:firstLine="852"/>
        <w:contextualSpacing/>
        <w:jc w:val="both"/>
        <w:rPr>
          <w:i/>
          <w:iCs/>
        </w:rPr>
      </w:pPr>
    </w:p>
    <w:p w:rsidR="00E971C6" w:rsidRDefault="00C525EA">
      <w:pPr>
        <w:ind w:left="-426" w:firstLine="852"/>
        <w:contextualSpacing/>
        <w:jc w:val="both"/>
        <w:rPr>
          <w:i/>
          <w:iCs/>
        </w:rPr>
      </w:pPr>
      <w:r>
        <w:rPr>
          <w:i/>
          <w:iCs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>
        <w:rPr>
          <w:b/>
          <w:i/>
          <w:iCs/>
        </w:rPr>
        <w:t>с указанием средних по региону процентов выполнения заданий каждой линии</w:t>
      </w:r>
      <w:r>
        <w:rPr>
          <w:i/>
          <w:iCs/>
        </w:rPr>
        <w:t>.</w:t>
      </w:r>
    </w:p>
    <w:p w:rsidR="00E971C6" w:rsidRDefault="00C525EA">
      <w:pPr>
        <w:pStyle w:val="a9"/>
        <w:keepNext/>
      </w:pPr>
      <w:r>
        <w:t xml:space="preserve">Таблица </w:t>
      </w:r>
      <w:fldSimple w:instr=" STYLEREF 1 \s ">
        <w:r>
          <w:t>2</w:t>
        </w:r>
      </w:fldSimple>
      <w:r>
        <w:noBreakHyphen/>
      </w:r>
      <w:fldSimple w:instr=" SEQ Таблица \* ARABIC \s 1 ">
        <w:r>
          <w:t>13</w:t>
        </w:r>
      </w:fldSimple>
    </w:p>
    <w:tbl>
      <w:tblPr>
        <w:tblW w:w="10674" w:type="dxa"/>
        <w:tblInd w:w="-31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1"/>
        <w:gridCol w:w="2835"/>
        <w:gridCol w:w="992"/>
        <w:gridCol w:w="992"/>
        <w:gridCol w:w="1418"/>
        <w:gridCol w:w="1204"/>
        <w:gridCol w:w="1203"/>
        <w:gridCol w:w="1204"/>
        <w:gridCol w:w="25"/>
      </w:tblGrid>
      <w:tr w:rsidR="00E971C6">
        <w:trPr>
          <w:cantSplit/>
          <w:trHeight w:val="313"/>
          <w:tblHeader/>
        </w:trPr>
        <w:tc>
          <w:tcPr>
            <w:tcW w:w="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</w:t>
            </w:r>
          </w:p>
          <w:p w:rsidR="00E971C6" w:rsidRDefault="00C52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задания в КИМ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Уровень сложности задания</w:t>
            </w:r>
          </w:p>
          <w:p w:rsidR="00E971C6" w:rsidRDefault="00E971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4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971C6" w:rsidRDefault="00C52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 выполнения задания </w:t>
            </w:r>
            <w:r>
              <w:rPr>
                <w:sz w:val="20"/>
                <w:szCs w:val="20"/>
              </w:rPr>
              <w:br/>
              <w:t>в субъекте Российской Федерации</w:t>
            </w:r>
            <w:r>
              <w:rPr>
                <w:rStyle w:val="a3"/>
                <w:sz w:val="20"/>
                <w:szCs w:val="20"/>
              </w:rPr>
              <w:footnoteReference w:id="1"/>
            </w:r>
          </w:p>
        </w:tc>
      </w:tr>
      <w:tr w:rsidR="00E971C6">
        <w:trPr>
          <w:gridAfter w:val="1"/>
          <w:wAfter w:w="25" w:type="dxa"/>
          <w:cantSplit/>
          <w:trHeight w:val="635"/>
          <w:tblHeader/>
        </w:trPr>
        <w:tc>
          <w:tcPr>
            <w:tcW w:w="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E971C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E971C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E971C6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1C6" w:rsidRDefault="00C525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группе не преодолев-ших минималь-ный балл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группе от минимального до 60 т.б.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группе от 61 до 80 т.б.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группе от 81 до 100 т.б.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значение выражения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простейших задач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задачи на выборку условия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таблице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выполнение действий по рисунку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(пропорции)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Найти значение выражения: (иррациональные, показательные тригонометрические и др.)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с использованием физических формул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уравнений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использованием масштаба карт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на теорию вероятностью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выборку условий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задачи по геометрии (стереометрия)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на соответствие между графиками функций и характеристиками этих функций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по геометрии (планиметрия)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площади поверхностей, объемов тел (стереометрия)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задачи с помощью координатной прямой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Выбрать верное утверждение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текстовых задач сложного уровня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</w:tr>
      <w:tr w:rsidR="00E971C6">
        <w:trPr>
          <w:gridAfter w:val="1"/>
          <w:wAfter w:w="25" w:type="dxa"/>
          <w:cantSplit/>
          <w:trHeight w:val="309"/>
        </w:trPr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ind w:firstLine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строить и исследовать простейшие математические действия, логическая задача.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</w:tr>
    </w:tbl>
    <w:p w:rsidR="00E971C6" w:rsidRDefault="00E971C6">
      <w:pPr>
        <w:ind w:left="-426" w:firstLine="965"/>
        <w:jc w:val="both"/>
        <w:rPr>
          <w:i/>
          <w:iCs/>
        </w:rPr>
      </w:pPr>
    </w:p>
    <w:p w:rsidR="00E971C6" w:rsidRDefault="00C525EA">
      <w:pPr>
        <w:ind w:left="-426" w:firstLine="965"/>
        <w:jc w:val="both"/>
        <w:rPr>
          <w:i/>
          <w:iCs/>
        </w:rPr>
      </w:pPr>
      <w:r>
        <w:rPr>
          <w:i/>
          <w:iCs/>
        </w:rPr>
        <w:t>В рамках выполнения анализа, по меньшей мере, необходимо указать:</w:t>
      </w:r>
    </w:p>
    <w:p w:rsidR="00E971C6" w:rsidRDefault="00C525EA">
      <w:pPr>
        <w:numPr>
          <w:ilvl w:val="0"/>
          <w:numId w:val="5"/>
        </w:numPr>
        <w:tabs>
          <w:tab w:val="left" w:pos="851"/>
        </w:tabs>
        <w:ind w:left="-426" w:firstLine="965"/>
        <w:jc w:val="both"/>
        <w:rPr>
          <w:i/>
          <w:iCs/>
        </w:rPr>
      </w:pPr>
      <w:r>
        <w:rPr>
          <w:i/>
          <w:iCs/>
        </w:rPr>
        <w:t>линии заданий с наименьшими процентами выполнения, среди них отдельно выделить:</w:t>
      </w:r>
    </w:p>
    <w:p w:rsidR="00E971C6" w:rsidRDefault="00C525EA">
      <w:pPr>
        <w:numPr>
          <w:ilvl w:val="1"/>
          <w:numId w:val="5"/>
        </w:numPr>
        <w:ind w:left="1134"/>
        <w:jc w:val="both"/>
        <w:rPr>
          <w:i/>
          <w:iCs/>
        </w:rPr>
      </w:pPr>
      <w:r>
        <w:rPr>
          <w:i/>
          <w:iCs/>
        </w:rPr>
        <w:t>задания базового уровня (с процентом выполнения ниже 50);</w:t>
      </w:r>
    </w:p>
    <w:p w:rsidR="00E971C6" w:rsidRDefault="00C525EA">
      <w:pPr>
        <w:numPr>
          <w:ilvl w:val="1"/>
          <w:numId w:val="5"/>
        </w:numPr>
        <w:ind w:left="1134"/>
        <w:jc w:val="both"/>
        <w:rPr>
          <w:i/>
          <w:iCs/>
        </w:rPr>
      </w:pPr>
      <w:r>
        <w:rPr>
          <w:i/>
          <w:iCs/>
        </w:rPr>
        <w:t xml:space="preserve">задания повышенного и высокого уровня (с процентом выполнения ниже 15); </w:t>
      </w:r>
    </w:p>
    <w:p w:rsidR="00E971C6" w:rsidRDefault="00C525EA">
      <w:pPr>
        <w:numPr>
          <w:ilvl w:val="0"/>
          <w:numId w:val="5"/>
        </w:numPr>
        <w:tabs>
          <w:tab w:val="left" w:pos="851"/>
        </w:tabs>
        <w:ind w:left="-426" w:firstLine="965"/>
        <w:jc w:val="both"/>
        <w:rPr>
          <w:i/>
          <w:iCs/>
        </w:rPr>
      </w:pPr>
      <w:r>
        <w:rPr>
          <w:i/>
          <w:iCs/>
        </w:rPr>
        <w:t xml:space="preserve">успешно усвоенные и недостаточно усвоенные элементы содержания / освоенные умения, навыки, виды деятельности. </w:t>
      </w:r>
    </w:p>
    <w:p w:rsidR="00E971C6" w:rsidRDefault="00E971C6">
      <w:pPr>
        <w:tabs>
          <w:tab w:val="left" w:pos="851"/>
        </w:tabs>
        <w:ind w:left="539"/>
        <w:jc w:val="both"/>
        <w:rPr>
          <w:i/>
          <w:iCs/>
        </w:rPr>
      </w:pPr>
    </w:p>
    <w:p w:rsidR="00E971C6" w:rsidRPr="005129D6" w:rsidRDefault="00C525EA" w:rsidP="005129D6">
      <w:pPr>
        <w:pStyle w:val="3"/>
        <w:numPr>
          <w:ilvl w:val="2"/>
          <w:numId w:val="9"/>
        </w:numPr>
        <w:jc w:val="center"/>
        <w:rPr>
          <w:rFonts w:ascii="Times New Roman" w:hAnsi="Times New Roman"/>
          <w:bCs w:val="0"/>
        </w:rPr>
      </w:pPr>
      <w:r w:rsidRPr="005129D6">
        <w:rPr>
          <w:rFonts w:ascii="Times New Roman" w:hAnsi="Times New Roman"/>
          <w:bCs w:val="0"/>
        </w:rPr>
        <w:lastRenderedPageBreak/>
        <w:t>Содержательный анализ выполнения заданий КИМ</w:t>
      </w:r>
    </w:p>
    <w:p w:rsidR="00E971C6" w:rsidRDefault="00C525EA">
      <w:pPr>
        <w:ind w:left="-426" w:firstLine="965"/>
        <w:jc w:val="both"/>
        <w:rPr>
          <w:i/>
          <w:iCs/>
        </w:rPr>
      </w:pPr>
      <w:r>
        <w:rPr>
          <w:i/>
          <w:iCs/>
        </w:rPr>
        <w:t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вне зависимости от выполненного участником экзамена варианта КИМ.</w:t>
      </w:r>
    </w:p>
    <w:p w:rsidR="00E971C6" w:rsidRDefault="00E971C6">
      <w:pPr>
        <w:ind w:left="-426" w:firstLine="965"/>
        <w:jc w:val="both"/>
        <w:rPr>
          <w:i/>
          <w:iCs/>
        </w:rPr>
      </w:pPr>
    </w:p>
    <w:p w:rsidR="00E971C6" w:rsidRDefault="00C525EA">
      <w:pPr>
        <w:pStyle w:val="af8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На основе данных, приведенных в п 3.2.1, приводятся наиболее сложные для участников ЕГЭ задания, указываются их характеристики, типичные ошибки при выполнении этих заданий, приводится анализ возможных причин получения выявленных типичных ошибочных ответов и путей их устранения в ходе обучения школьников предмету в регионе </w:t>
      </w:r>
    </w:p>
    <w:p w:rsidR="00E971C6" w:rsidRDefault="00C525EA">
      <w:pPr>
        <w:pStyle w:val="af8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(примеры сложных для участников ЕГЭ заданий приводятся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только из вариантов КИМ, номера которых будут направлены в субъекты Российской Федерации дополнительно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вместе со статистической информацией о результатах ЕГЭ по соответствующему учебному предмет). </w:t>
      </w:r>
    </w:p>
    <w:p w:rsidR="00E971C6" w:rsidRDefault="00E971C6">
      <w:pPr>
        <w:ind w:left="-426" w:firstLine="965"/>
        <w:jc w:val="both"/>
      </w:pPr>
    </w:p>
    <w:p w:rsidR="00E971C6" w:rsidRDefault="00C525EA">
      <w:pPr>
        <w:ind w:left="-426" w:firstLine="965"/>
        <w:jc w:val="both"/>
      </w:pPr>
      <w:r>
        <w:rPr>
          <w:noProof/>
        </w:rPr>
        <w:drawing>
          <wp:inline distT="0" distB="0" distL="0" distR="0">
            <wp:extent cx="6229350" cy="126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1C6" w:rsidRDefault="00E971C6">
      <w:pPr>
        <w:ind w:left="-426" w:firstLine="965"/>
        <w:jc w:val="both"/>
      </w:pPr>
    </w:p>
    <w:p w:rsidR="00E971C6" w:rsidRDefault="00C525EA">
      <w:pPr>
        <w:jc w:val="both"/>
      </w:pPr>
      <w:r>
        <w:t>2. Ежемесячная плата за телефон составляет 280 рублей. В следующем году она увеличится на 5%. Сколько рублей будет составлять ежемесячная плата за телефон в следующем году? Задача проверяет сформированность умения использовать приобретенные знания в практической деятельности и повседневной жизни, описывает знакомую для участников экзамена ситуацию, использования понятия «процент» и умения его нахождения. Типичные ошибки при выполнении: вычисляют 5% от 280, а нужно 105% от 280; считают, что 5% – это 280.</w:t>
      </w:r>
    </w:p>
    <w:p w:rsidR="00E971C6" w:rsidRDefault="00E971C6">
      <w:pPr>
        <w:jc w:val="both"/>
      </w:pPr>
    </w:p>
    <w:p w:rsidR="00E971C6" w:rsidRDefault="00C525EA" w:rsidP="004A1BA4">
      <w:pPr>
        <w:pStyle w:val="af8"/>
        <w:numPr>
          <w:ilvl w:val="0"/>
          <w:numId w:val="9"/>
        </w:numPr>
        <w:jc w:val="both"/>
      </w:pPr>
      <w: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</w:t>
      </w:r>
    </w:p>
    <w:p w:rsidR="00E971C6" w:rsidRDefault="00C525EA">
      <w:pPr>
        <w:pStyle w:val="af8"/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6296025" cy="2095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1C6" w:rsidRDefault="00C525EA" w:rsidP="004A1BA4">
      <w:pPr>
        <w:pStyle w:val="af8"/>
        <w:numPr>
          <w:ilvl w:val="0"/>
          <w:numId w:val="9"/>
        </w:numPr>
        <w:jc w:val="both"/>
      </w:pPr>
      <w:r>
        <w:t xml:space="preserve">На рисунке жирными точками показана среднесуточная температура воздуха в Бресте каждый день с 6 по 18 июля 1981 года. По горизонтали указываются числа месяца, по вертикали – температура в градусах Цельсия. Для наглядности жирные точки соединены линиями. Определите по рисунку наименьшую среднесуточную температуру в Бресте в период с 7 по 17 июля включительно. Ответ дайте в градусах Цельсия </w:t>
      </w:r>
    </w:p>
    <w:p w:rsidR="00E971C6" w:rsidRDefault="00C525EA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62325" cy="162433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0056" cy="16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sz w:val="24"/>
          <w:szCs w:val="24"/>
        </w:rPr>
        <w:t>Задание проверяет сформированность умения находить и интерпретировать информацию, представленную на диаграмме.</w:t>
      </w:r>
    </w:p>
    <w:p w:rsidR="00E971C6" w:rsidRDefault="00C525EA" w:rsidP="004A1BA4">
      <w:pPr>
        <w:pStyle w:val="af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клетчатой бумаге с размером клетки 1×1 изображена трапеция. Найдите её площадь.</w:t>
      </w:r>
    </w:p>
    <w:p w:rsidR="00E971C6" w:rsidRDefault="00C525EA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67000" cy="1381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Задание проверяет знание формулы площади трапеции, умение находить на клетчатом листе её элементы – основания и высоту. Кроме незнания формулы площади трапеции, некоторые участники экзамена считают не количество отрезков, помещающихся, например, в основании, а количество точек. Отрезков – 4, а точек – 5, отсюда неправильный ответ. </w:t>
      </w:r>
    </w:p>
    <w:p w:rsidR="00E971C6" w:rsidRDefault="00E971C6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</w:p>
    <w:p w:rsidR="00E971C6" w:rsidRDefault="00C525EA" w:rsidP="004A1BA4">
      <w:pPr>
        <w:pStyle w:val="af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Шоколадка стоит 35 рублей. В воскресенье в супермаркете действует специальное предложение: заплатив за три шоколадки, покупатель получает четыре (одну в подарок). Сколько шоколадок можно получить на 310 рублей в воскресенье? Простейшая жизненно-практическая задача, направленная на проверку уровня сформированности умения использовать приобретенные знания и умения в практической деятельности и повседневной жизни, составлять и исследовать математические модели. </w:t>
      </w:r>
    </w:p>
    <w:p w:rsidR="00E971C6" w:rsidRDefault="00C525EA" w:rsidP="004A1BA4">
      <w:pPr>
        <w:pStyle w:val="af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Найдите значение выражения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√</w:t>
      </w:r>
      <w:r>
        <w:rPr>
          <w:rFonts w:ascii="Times New Roman" w:hAnsi="Times New Roman"/>
          <w:b/>
          <w:bCs/>
          <w:sz w:val="24"/>
          <w:szCs w:val="24"/>
        </w:rPr>
        <w:t xml:space="preserve">28 * </w:t>
      </w:r>
      <w:r>
        <w:rPr>
          <w:rFonts w:ascii="Arial" w:hAnsi="Arial" w:cs="Arial"/>
          <w:b/>
          <w:bCs/>
          <w:sz w:val="24"/>
          <w:szCs w:val="24"/>
        </w:rPr>
        <w:t>√</w:t>
      </w:r>
      <w:r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E971C6" w:rsidRDefault="00C525EA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проверяет наличие знаний свойств арифметического квадратного корня и опыта проведения преобразований выражений, содержащих арифметические квадратные корни/ </w:t>
      </w:r>
    </w:p>
    <w:p w:rsidR="00E971C6" w:rsidRDefault="00E971C6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</w:p>
    <w:p w:rsidR="00E971C6" w:rsidRDefault="00C525EA" w:rsidP="004A1BA4">
      <w:pPr>
        <w:pStyle w:val="af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Мощность постоянного тока (в ваттах) вычисляется по формуле  P =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* R , где I – сила тока (в амперах), R – сопротивление (в омах). Пользуясь этой формулой, найдите P (в ваттах), если R = 12 Ом и I = 7 А. Задание проверяет умение использовать приобретенные знания и умения в практической деятельности и повседневной жизни – работать с формулой, находить значение одного из параметров.</w:t>
      </w:r>
    </w:p>
    <w:p w:rsidR="00E971C6" w:rsidRDefault="00E971C6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</w:p>
    <w:p w:rsidR="00E971C6" w:rsidRDefault="00C525EA" w:rsidP="004A1BA4">
      <w:pPr>
        <w:pStyle w:val="af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Найдите корень уравнения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74090" cy="189230"/>
            <wp:effectExtent l="0" t="0" r="1651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Простейшее логарифмическое уравнение, решение которого основано на определении логарифма и умения решать линейное уравнение. Типичные ошибки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вместо: </w:t>
      </w:r>
      <w:r>
        <w:rPr>
          <w:rFonts w:ascii="Times New Roman" w:hAnsi="Times New Roman"/>
          <w:sz w:val="24"/>
          <w:szCs w:val="24"/>
          <w:lang w:val="en-US"/>
        </w:rPr>
        <w:t xml:space="preserve">4x - 20 =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hAnsi="Cambria Math"/>
          <w:sz w:val="24"/>
          <w:szCs w:val="24"/>
        </w:rPr>
        <w:t xml:space="preserve">, </w:t>
      </w:r>
      <w:r>
        <w:rPr>
          <w:rFonts w:hAnsi="Cambria Math"/>
          <w:sz w:val="24"/>
          <w:szCs w:val="24"/>
        </w:rPr>
        <w:t>записали</w:t>
      </w:r>
      <w:r>
        <w:rPr>
          <w:rFonts w:hAnsi="Cambria Math"/>
          <w:sz w:val="24"/>
          <w:szCs w:val="24"/>
        </w:rPr>
        <w:t xml:space="preserve"> 4</w:t>
      </w:r>
      <w:r>
        <w:rPr>
          <w:rFonts w:hAnsi="Cambria Math"/>
          <w:sz w:val="24"/>
          <w:szCs w:val="24"/>
          <w:lang w:val="en-US"/>
        </w:rPr>
        <w:t xml:space="preserve">x - 20 =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</w:p>
    <w:p w:rsidR="00E971C6" w:rsidRDefault="00C525EA" w:rsidP="004A1BA4">
      <w:pPr>
        <w:pStyle w:val="af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Дачный участок имеет форму прямоугольника, стороны которого равны 40 м и 50 м. Дом, расположенный на участке, имеет на плане форму квадрата со стороной 9 м. Найдите площадь оставшейся части участка, не занятой домом. Ответ дайте в квадратных метрах.</w:t>
      </w:r>
    </w:p>
    <w:p w:rsidR="00E971C6" w:rsidRDefault="00C525EA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14475" cy="14859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Задание направлено на проверку уровня сформированности умения составлять и исследовать математические модели, в частности, простейшие геометрические, проверяет умение находить площадь прямоугольника, сравнивать числовые значения величин. </w:t>
      </w:r>
    </w:p>
    <w:p w:rsidR="00E971C6" w:rsidRDefault="00E971C6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</w:p>
    <w:p w:rsidR="00E971C6" w:rsidRDefault="00C525EA" w:rsidP="004A1BA4">
      <w:pPr>
        <w:pStyle w:val="af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среднем из 1500 садовых насосов, поступивших в продажу, 15 насосов подтекают. Найдите вероятность того, что один случайно выбранный для контроля насос не подтекает. Задание на проверку сформированности понятия «вероятность» и умения находить вероятность в простейших ситуациях.</w:t>
      </w:r>
    </w:p>
    <w:p w:rsidR="00E971C6" w:rsidRDefault="00E971C6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</w:p>
    <w:p w:rsidR="00E971C6" w:rsidRDefault="00C525EA" w:rsidP="004A1BA4">
      <w:pPr>
        <w:pStyle w:val="af8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правилам авиакомпании в ручную кладь может быть взята сумка, размеры которой не превышают 55 см в длину, 40 см в высоту, 20 см в ширину и масса которой не превышает 10 кг. Какие сумки можно взять в ручную кладь по правилам этой авиакомпании? </w:t>
      </w:r>
    </w:p>
    <w:p w:rsidR="00E971C6" w:rsidRDefault="00E971C6">
      <w:pPr>
        <w:pStyle w:val="af8"/>
      </w:pPr>
    </w:p>
    <w:p w:rsidR="00E971C6" w:rsidRDefault="00C525EA">
      <w:pPr>
        <w:pStyle w:val="af8"/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6076950" cy="16764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1C6" w:rsidRDefault="00E971C6">
      <w:pPr>
        <w:pStyle w:val="af8"/>
        <w:ind w:left="360"/>
        <w:jc w:val="both"/>
      </w:pPr>
    </w:p>
    <w:p w:rsidR="00E971C6" w:rsidRDefault="00C525EA" w:rsidP="004A1BA4">
      <w:pPr>
        <w:pStyle w:val="af8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бак, имеющий форму правильной четырёхугольной призмы со стороной основания 10 см, налита жидкость. Чтобы измерить объём детали сложной формы, её полностью погружают в эту жидкость. Найдите объём детали, если после её погружения уровень жидкости в баке поднялся на 30 см. Ответ дайте в кубических сантиметрах. </w:t>
      </w:r>
    </w:p>
    <w:p w:rsidR="00E971C6" w:rsidRDefault="00E971C6">
      <w:pPr>
        <w:pStyle w:val="af8"/>
        <w:ind w:left="360"/>
        <w:jc w:val="both"/>
        <w:rPr>
          <w:rFonts w:ascii="Times New Roman" w:hAnsi="Times New Roman"/>
        </w:rPr>
      </w:pPr>
    </w:p>
    <w:p w:rsidR="00E971C6" w:rsidRDefault="00C525EA">
      <w:pPr>
        <w:pStyle w:val="af8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14425" cy="15049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Практико-ориентированная задача, помимо объема призмы нужно знать, что объем детали равен объему вытесненной жидкости</w:t>
      </w:r>
    </w:p>
    <w:p w:rsidR="00E971C6" w:rsidRDefault="00C525EA" w:rsidP="004A1BA4">
      <w:pPr>
        <w:pStyle w:val="af8"/>
        <w:numPr>
          <w:ilvl w:val="0"/>
          <w:numId w:val="9"/>
        </w:num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076950" cy="4829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1C6" w:rsidRDefault="00C525EA">
      <w:pPr>
        <w:pStyle w:val="af8"/>
        <w:ind w:left="-284"/>
        <w:jc w:val="both"/>
      </w:pPr>
      <w:r>
        <w:rPr>
          <w:noProof/>
          <w:lang w:eastAsia="ru-RU"/>
        </w:rPr>
        <w:drawing>
          <wp:inline distT="0" distB="0" distL="0" distR="0">
            <wp:extent cx="6286500" cy="1409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1C6" w:rsidRDefault="00E971C6">
      <w:pPr>
        <w:pStyle w:val="af8"/>
        <w:ind w:left="360"/>
        <w:jc w:val="both"/>
      </w:pPr>
    </w:p>
    <w:p w:rsidR="00E971C6" w:rsidRDefault="00C525EA">
      <w:pPr>
        <w:pStyle w:val="af8"/>
        <w:ind w:left="-142" w:hanging="142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6629400" cy="93059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1C6" w:rsidRDefault="00C525EA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20. На изготовление 27 деталей первый рабочий тратит на 6 часов меньше, чем второй рабочий на изготовление 54 таких же деталей. Первый рабочий за час делает на 3 детали больше, чем второй. Сколько деталей за час делает второй рабочий? Текстовая задача проверяет сформированность у выпускников умения моделировать реальные ситуации на языке алгебры, составлять математические модели (в данном случае дробно-рациональное уравнение или систему уравнений) по условию задачи, исследовать построенные модели с использованием аппарата алгебры. Данная текстовая задача – стандартная, является элементом содержания обучения математики в основной школе.</w:t>
      </w:r>
    </w:p>
    <w:p w:rsidR="00E971C6" w:rsidRDefault="00E971C6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</w:p>
    <w:p w:rsidR="00E971C6" w:rsidRDefault="00C525EA">
      <w:pPr>
        <w:pStyle w:val="af8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Список заданий викторины состоял из 40 вопросов. За каждый правильный ответ ученик получал 9 очков, за неправильный ответ с него списывали 11 очков, а 50 при отсутствии ответа давали 0 очков. Сколько верных ответов дал ученик, набравший 171 очко, если известно, что по крайней мере один раз он ошибся? Задание на умение строить и исследовать математические модели.</w:t>
      </w:r>
    </w:p>
    <w:p w:rsidR="00E971C6" w:rsidRDefault="00E971C6">
      <w:pPr>
        <w:pStyle w:val="af8"/>
        <w:ind w:left="360"/>
        <w:jc w:val="both"/>
      </w:pPr>
    </w:p>
    <w:p w:rsidR="00E971C6" w:rsidRDefault="00E971C6">
      <w:pPr>
        <w:pStyle w:val="af8"/>
        <w:ind w:left="360"/>
        <w:jc w:val="both"/>
      </w:pPr>
    </w:p>
    <w:p w:rsidR="00E971C6" w:rsidRDefault="00C525EA">
      <w:pPr>
        <w:pStyle w:val="af8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Соотнесение результатов выполнения заданий с учебными программами, используемыми в субъекте Российской Федерации учебниками и иными особенностями региональной/муниципальной систем образования</w:t>
      </w:r>
    </w:p>
    <w:p w:rsidR="00E971C6" w:rsidRDefault="00C525EA">
      <w:pPr>
        <w:spacing w:line="360" w:lineRule="auto"/>
        <w:ind w:left="-42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1C6" w:rsidRPr="005129D6" w:rsidRDefault="00C525EA" w:rsidP="005129D6">
      <w:pPr>
        <w:pStyle w:val="3"/>
        <w:numPr>
          <w:ilvl w:val="2"/>
          <w:numId w:val="10"/>
        </w:numPr>
        <w:jc w:val="both"/>
        <w:rPr>
          <w:rFonts w:ascii="Times New Roman" w:hAnsi="Times New Roman"/>
          <w:bCs w:val="0"/>
        </w:rPr>
      </w:pPr>
      <w:r w:rsidRPr="005129D6">
        <w:rPr>
          <w:rFonts w:ascii="Times New Roman" w:hAnsi="Times New Roman"/>
          <w:bCs w:val="0"/>
        </w:rPr>
        <w:t xml:space="preserve">Анализ метапредметных результатов обучения, повлиявших на </w:t>
      </w:r>
      <w:r w:rsidRPr="005129D6">
        <w:rPr>
          <w:rFonts w:ascii="Times New Roman" w:hAnsi="Times New Roman"/>
          <w:bCs w:val="0"/>
        </w:rPr>
        <w:tab/>
      </w:r>
      <w:r w:rsidRPr="005129D6">
        <w:rPr>
          <w:rFonts w:ascii="Times New Roman" w:hAnsi="Times New Roman"/>
          <w:bCs w:val="0"/>
        </w:rPr>
        <w:tab/>
        <w:t>выполнение заданий КИМ</w:t>
      </w:r>
    </w:p>
    <w:p w:rsidR="00E971C6" w:rsidRDefault="00C525EA">
      <w:pPr>
        <w:ind w:firstLine="708"/>
        <w:jc w:val="both"/>
        <w:rPr>
          <w:i/>
        </w:rPr>
      </w:pPr>
      <w:r>
        <w:rPr>
          <w:i/>
        </w:rPr>
        <w:t>Рассматриваются метапредметные результаты, которые могли повлиять на выполнение заданий КИМ.</w:t>
      </w:r>
    </w:p>
    <w:p w:rsidR="00E971C6" w:rsidRDefault="00C525E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>
        <w:rPr>
          <w:i/>
        </w:rPr>
        <w:t xml:space="preserve">Согласно ФГОС СОО, должны быть достигнуты не только предметные, но и метапредметные результаты обучения, в том числе: </w:t>
      </w:r>
    </w:p>
    <w:p w:rsidR="00E971C6" w:rsidRDefault="00C525EA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971C6" w:rsidRDefault="00C525EA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готовность и способность к самостоятельной информационно-познавательной деятельности,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971C6" w:rsidRDefault="00C525EA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971C6" w:rsidRDefault="00C525EA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>
        <w:rPr>
          <w:i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971C6" w:rsidRDefault="00C525EA">
      <w:pPr>
        <w:ind w:firstLine="708"/>
        <w:jc w:val="both"/>
        <w:rPr>
          <w:i/>
        </w:rPr>
      </w:pPr>
      <w:r>
        <w:rPr>
          <w:i/>
        </w:rPr>
        <w:t>Достижение этих результатов влияет и на успешность освоения учебных предметов.</w:t>
      </w:r>
    </w:p>
    <w:p w:rsidR="00E971C6" w:rsidRDefault="00C525EA">
      <w:pPr>
        <w:ind w:firstLine="709"/>
        <w:jc w:val="both"/>
        <w:rPr>
          <w:bCs/>
          <w:iCs/>
        </w:rPr>
      </w:pPr>
      <w:r>
        <w:rPr>
          <w:i/>
        </w:rPr>
        <w:t xml:space="preserve">В данном пункте </w:t>
      </w:r>
      <w:r>
        <w:rPr>
          <w:bCs/>
          <w:i/>
        </w:rPr>
        <w:t xml:space="preserve">приводятся задания / группы заданий, на успешность выполнения которых могла повлиять слабая сформированность метапредметных умений, навыков, способов деятельности и указываются соответствующие метапредметные результаты. Указываются типичные ошибки при выполнении заданий КИМ, обусловленные слабой сформированностью метапредметных результатов </w:t>
      </w:r>
    </w:p>
    <w:p w:rsidR="00E971C6" w:rsidRDefault="00E971C6">
      <w:pPr>
        <w:ind w:firstLine="709"/>
        <w:jc w:val="both"/>
        <w:rPr>
          <w:b/>
          <w:i/>
        </w:rPr>
      </w:pPr>
    </w:p>
    <w:p w:rsidR="00E971C6" w:rsidRDefault="00E971C6">
      <w:pPr>
        <w:ind w:firstLine="709"/>
        <w:jc w:val="both"/>
        <w:rPr>
          <w:b/>
          <w:i/>
        </w:rPr>
      </w:pPr>
    </w:p>
    <w:p w:rsidR="00E971C6" w:rsidRDefault="00E971C6">
      <w:pPr>
        <w:ind w:firstLine="709"/>
        <w:jc w:val="both"/>
        <w:rPr>
          <w:b/>
          <w:i/>
        </w:rPr>
      </w:pPr>
    </w:p>
    <w:p w:rsidR="00E971C6" w:rsidRDefault="00E971C6">
      <w:pPr>
        <w:ind w:firstLine="709"/>
        <w:jc w:val="both"/>
        <w:rPr>
          <w:b/>
          <w:i/>
        </w:rPr>
      </w:pPr>
    </w:p>
    <w:p w:rsidR="00E971C6" w:rsidRDefault="00E971C6">
      <w:pPr>
        <w:ind w:firstLine="709"/>
        <w:jc w:val="both"/>
        <w:rPr>
          <w:b/>
          <w:i/>
        </w:rPr>
      </w:pPr>
    </w:p>
    <w:p w:rsidR="00E971C6" w:rsidRDefault="00E971C6">
      <w:pPr>
        <w:ind w:firstLine="709"/>
        <w:jc w:val="both"/>
        <w:rPr>
          <w:b/>
          <w:i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1308"/>
        <w:gridCol w:w="8248"/>
        <w:gridCol w:w="341"/>
      </w:tblGrid>
      <w:tr w:rsidR="00E971C6">
        <w:trPr>
          <w:trHeight w:hRule="exact" w:val="384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Cредний процент выполнения заданий открытого варианта</w:t>
            </w:r>
          </w:p>
        </w:tc>
      </w:tr>
      <w:tr w:rsidR="00E971C6">
        <w:trPr>
          <w:trHeight w:hRule="exact" w:val="603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(для использования при проведении содержательного анализа результатов ЕГЭ </w:t>
            </w:r>
            <w:r>
              <w:rPr>
                <w:color w:val="000000"/>
              </w:rPr>
              <w:br/>
              <w:t>и выявления типичных ошибок участников ЕГЭ)</w:t>
            </w:r>
          </w:p>
        </w:tc>
      </w:tr>
      <w:tr w:rsidR="00E971C6">
        <w:trPr>
          <w:trHeight w:hRule="exact" w:val="438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1C6">
        <w:trPr>
          <w:trHeight w:hRule="exact" w:val="274"/>
        </w:trPr>
        <w:tc>
          <w:tcPr>
            <w:tcW w:w="104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Cредний процент выполнения заданий. Средний балл – 3. Сдавали -  1551</w:t>
            </w:r>
          </w:p>
        </w:tc>
        <w:tc>
          <w:tcPr>
            <w:tcW w:w="3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971C6">
        <w:trPr>
          <w:trHeight w:hRule="exact" w:val="548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выполнения задания</w:t>
            </w:r>
          </w:p>
        </w:tc>
        <w:tc>
          <w:tcPr>
            <w:tcW w:w="82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C6">
        <w:trPr>
          <w:trHeight w:hRule="exact" w:val="274"/>
        </w:trPr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1C6" w:rsidRDefault="00C525EA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2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1C6" w:rsidRDefault="00E971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971C6" w:rsidRDefault="00E971C6"/>
    <w:p w:rsidR="00E971C6" w:rsidRDefault="00E971C6">
      <w:pPr>
        <w:ind w:firstLine="709"/>
        <w:jc w:val="both"/>
        <w:rPr>
          <w:b/>
          <w:i/>
        </w:rPr>
      </w:pPr>
    </w:p>
    <w:p w:rsidR="00E971C6" w:rsidRDefault="00E971C6">
      <w:pPr>
        <w:ind w:firstLine="709"/>
        <w:jc w:val="both"/>
        <w:rPr>
          <w:i/>
        </w:rPr>
      </w:pPr>
    </w:p>
    <w:p w:rsidR="00E971C6" w:rsidRPr="005129D6" w:rsidRDefault="00C525EA" w:rsidP="005129D6">
      <w:pPr>
        <w:pStyle w:val="3"/>
        <w:numPr>
          <w:ilvl w:val="2"/>
          <w:numId w:val="10"/>
        </w:numPr>
        <w:rPr>
          <w:rFonts w:ascii="Times New Roman" w:hAnsi="Times New Roman"/>
          <w:bCs w:val="0"/>
        </w:rPr>
      </w:pPr>
      <w:r w:rsidRPr="005129D6">
        <w:rPr>
          <w:rFonts w:ascii="Times New Roman" w:hAnsi="Times New Roman"/>
          <w:iCs/>
        </w:rPr>
        <w:t>Выводы</w:t>
      </w:r>
      <w:r w:rsidRPr="005129D6">
        <w:rPr>
          <w:rFonts w:ascii="Times New Roman" w:hAnsi="Times New Roman"/>
          <w:bCs w:val="0"/>
        </w:rPr>
        <w:t xml:space="preserve"> об итогах анализа выполнения заданий, групп заданий: </w:t>
      </w:r>
    </w:p>
    <w:p w:rsidR="00E971C6" w:rsidRDefault="00E971C6"/>
    <w:p w:rsidR="00E971C6" w:rsidRDefault="00C525EA">
      <w:pPr>
        <w:pStyle w:val="af8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 можно считать достаточным.</w:t>
      </w:r>
    </w:p>
    <w:p w:rsidR="00E971C6" w:rsidRDefault="00E971C6">
      <w:pPr>
        <w:jc w:val="both"/>
        <w:rPr>
          <w:rFonts w:eastAsia="Times New Roman"/>
          <w:bCs/>
          <w:i/>
          <w:iCs/>
        </w:rPr>
      </w:pPr>
    </w:p>
    <w:p w:rsidR="00E971C6" w:rsidRDefault="00C525EA">
      <w:pPr>
        <w:jc w:val="both"/>
      </w:pPr>
      <w:r>
        <w:t xml:space="preserve">- выполнять простейшие вычисления и преобразования, </w:t>
      </w:r>
    </w:p>
    <w:p w:rsidR="00E971C6" w:rsidRDefault="00C525EA">
      <w:pPr>
        <w:jc w:val="both"/>
      </w:pPr>
      <w:r>
        <w:t xml:space="preserve">- анализировать информацию, представленную в таблице и диаграмме, </w:t>
      </w:r>
    </w:p>
    <w:p w:rsidR="00E971C6" w:rsidRDefault="00C525EA">
      <w:pPr>
        <w:jc w:val="both"/>
      </w:pPr>
      <w:r>
        <w:t xml:space="preserve">- решать простейшие задачи на проценты, </w:t>
      </w:r>
    </w:p>
    <w:p w:rsidR="00E971C6" w:rsidRDefault="00C525EA">
      <w:pPr>
        <w:jc w:val="both"/>
      </w:pPr>
      <w:r>
        <w:t>- находить вероятность в простых случаях,</w:t>
      </w:r>
    </w:p>
    <w:p w:rsidR="00E971C6" w:rsidRDefault="00C525EA">
      <w:pPr>
        <w:jc w:val="both"/>
      </w:pPr>
      <w:r>
        <w:t xml:space="preserve">- решать линейные уравнения, </w:t>
      </w:r>
    </w:p>
    <w:p w:rsidR="00E971C6" w:rsidRDefault="00C525EA">
      <w:pPr>
        <w:jc w:val="both"/>
      </w:pPr>
      <w:r>
        <w:t xml:space="preserve">- определять отрезок, которому принадлежит заданное число, </w:t>
      </w:r>
    </w:p>
    <w:p w:rsidR="00E971C6" w:rsidRDefault="00C525EA">
      <w:pPr>
        <w:jc w:val="both"/>
      </w:pPr>
      <w:r>
        <w:t xml:space="preserve">- решать практические задачи, связанные с нахождением геометрических величин; </w:t>
      </w:r>
    </w:p>
    <w:p w:rsidR="00E971C6" w:rsidRDefault="00C525EA">
      <w:pPr>
        <w:jc w:val="both"/>
      </w:pPr>
      <w:r>
        <w:t>- находить высоту описанного четырехугольника, зная радиус вписанной окружности.</w:t>
      </w:r>
    </w:p>
    <w:p w:rsidR="00E971C6" w:rsidRDefault="00E971C6">
      <w:pPr>
        <w:jc w:val="both"/>
        <w:rPr>
          <w:rFonts w:eastAsia="Times New Roman"/>
          <w:bCs/>
          <w:i/>
          <w:iCs/>
        </w:rPr>
      </w:pPr>
    </w:p>
    <w:p w:rsidR="00E971C6" w:rsidRDefault="00C525EA">
      <w:pPr>
        <w:pStyle w:val="af8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региона в целом, школьниками с разным уровнем подготовки нельзя считать достаточным.</w:t>
      </w:r>
    </w:p>
    <w:p w:rsidR="00E971C6" w:rsidRDefault="00E971C6">
      <w:pPr>
        <w:jc w:val="both"/>
        <w:rPr>
          <w:rFonts w:eastAsia="Times New Roman"/>
          <w:bCs/>
          <w:i/>
          <w:iCs/>
        </w:rPr>
      </w:pPr>
    </w:p>
    <w:p w:rsidR="00E971C6" w:rsidRDefault="00C525EA">
      <w:pPr>
        <w:jc w:val="both"/>
      </w:pPr>
      <w:r>
        <w:lastRenderedPageBreak/>
        <w:t xml:space="preserve">- знаний формул сокращённого умножения и умений использовать их для преобразования алгебраических выражений, </w:t>
      </w:r>
    </w:p>
    <w:p w:rsidR="00E971C6" w:rsidRDefault="00C525EA">
      <w:pPr>
        <w:jc w:val="both"/>
      </w:pPr>
      <w:r>
        <w:t xml:space="preserve">- понятий арифметической и геометрической прогрессий и умений находить их элементы, </w:t>
      </w:r>
    </w:p>
    <w:p w:rsidR="00E971C6" w:rsidRDefault="00C525EA">
      <w:pPr>
        <w:jc w:val="both"/>
      </w:pPr>
      <w:r>
        <w:t xml:space="preserve">- умений решать квадратные неравенства, системы квадратных уравнений, </w:t>
      </w:r>
    </w:p>
    <w:p w:rsidR="00E971C6" w:rsidRDefault="00C525EA">
      <w:pPr>
        <w:jc w:val="both"/>
      </w:pPr>
      <w:r>
        <w:t xml:space="preserve">- знаний свойства площадей подобных треугольников, </w:t>
      </w:r>
    </w:p>
    <w:p w:rsidR="00E971C6" w:rsidRDefault="00C525EA">
      <w:pPr>
        <w:jc w:val="both"/>
      </w:pPr>
      <w:r>
        <w:t xml:space="preserve">- умений решать текстовые задачи, </w:t>
      </w:r>
    </w:p>
    <w:p w:rsidR="00E971C6" w:rsidRDefault="00C525EA">
      <w:pPr>
        <w:jc w:val="both"/>
      </w:pPr>
      <w:r>
        <w:t>- знаний алгоритмов построения графиков функций,</w:t>
      </w:r>
    </w:p>
    <w:p w:rsidR="00E971C6" w:rsidRDefault="00C525EA">
      <w:pPr>
        <w:jc w:val="both"/>
      </w:pPr>
      <w:r>
        <w:t xml:space="preserve">- умений решать прямоугольный треугольник, </w:t>
      </w:r>
    </w:p>
    <w:p w:rsidR="00E971C6" w:rsidRDefault="00C525EA">
      <w:pPr>
        <w:jc w:val="both"/>
      </w:pPr>
      <w:r>
        <w:t xml:space="preserve">- навыка доказательства геометрических утверждений, </w:t>
      </w:r>
    </w:p>
    <w:p w:rsidR="00E971C6" w:rsidRDefault="00C525EA">
      <w:pPr>
        <w:jc w:val="both"/>
      </w:pPr>
      <w:r>
        <w:t xml:space="preserve">- умений анализировать условие планиметрической задачи для выбора стратегии её решения, </w:t>
      </w:r>
    </w:p>
    <w:p w:rsidR="00E971C6" w:rsidRDefault="00C525EA">
      <w:pPr>
        <w:jc w:val="both"/>
      </w:pPr>
      <w:r>
        <w:t>- умений оформлять решение задач с развёрнутым ответом</w:t>
      </w:r>
    </w:p>
    <w:p w:rsidR="00E971C6" w:rsidRDefault="00E971C6">
      <w:pPr>
        <w:jc w:val="both"/>
        <w:rPr>
          <w:rFonts w:eastAsia="Times New Roman"/>
          <w:bCs/>
          <w:i/>
          <w:iCs/>
        </w:rPr>
      </w:pPr>
    </w:p>
    <w:p w:rsidR="00E971C6" w:rsidRDefault="00C525EA">
      <w:pPr>
        <w:pStyle w:val="af8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об изменении успешности выполнения заданий разных лет по одной теме / проверяемому умению, виду деятельности (если это возможно сделать).</w:t>
      </w:r>
    </w:p>
    <w:p w:rsidR="00E971C6" w:rsidRDefault="00C525EA">
      <w:pPr>
        <w:spacing w:line="360" w:lineRule="auto"/>
        <w:ind w:left="-425"/>
        <w:jc w:val="both"/>
        <w:rPr>
          <w:i/>
          <w:iCs/>
        </w:rPr>
      </w:pPr>
      <w:r>
        <w:t>______________________________________________________________________________________________________________________________________________________________________</w:t>
      </w:r>
    </w:p>
    <w:p w:rsidR="00E971C6" w:rsidRDefault="00C525EA">
      <w:pPr>
        <w:pStyle w:val="af8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 существенности вклада содержательных изменений (при наличии изменений) КИМ, использовавшихся в регионе в 2022 году, относительно КИМ прошлых лет.</w:t>
      </w:r>
    </w:p>
    <w:p w:rsidR="00E971C6" w:rsidRPr="005129D6" w:rsidRDefault="00C525EA" w:rsidP="005129D6">
      <w:pPr>
        <w:pStyle w:val="af6"/>
        <w:numPr>
          <w:ilvl w:val="0"/>
          <w:numId w:val="6"/>
        </w:numPr>
        <w:shd w:val="clear" w:color="auto" w:fill="FFFFFF"/>
        <w:spacing w:before="0" w:beforeAutospacing="0" w:after="300" w:afterAutospacing="0"/>
        <w:ind w:left="142"/>
        <w:jc w:val="both"/>
        <w:rPr>
          <w:color w:val="000000"/>
        </w:rPr>
      </w:pPr>
      <w:r w:rsidRPr="005129D6">
        <w:rPr>
          <w:color w:val="000000"/>
        </w:rPr>
        <w:t>Данные результаты свидетельствуют о том, что уровень и качество подготовки выпускников 11 класса соответствуют требованиям Федерального стандартов образования и требованиям уровня подготовки учащихся по математике.</w:t>
      </w:r>
    </w:p>
    <w:p w:rsidR="00E971C6" w:rsidRDefault="00E971C6">
      <w:pPr>
        <w:jc w:val="both"/>
        <w:rPr>
          <w:rFonts w:eastAsia="Times New Roman"/>
          <w:bCs/>
          <w:i/>
          <w:iCs/>
        </w:rPr>
      </w:pPr>
    </w:p>
    <w:p w:rsidR="00E971C6" w:rsidRDefault="00C525EA">
      <w:pPr>
        <w:pStyle w:val="af8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 связи динамики результатов проведения ЕГЭ с использованием рекомендаций для системы образования субъекта Российской Федерации, включенных с статистико-аналитический отчет результатов ЕГЭ по учебному предмету в 202</w:t>
      </w:r>
      <w:r w:rsidRPr="004A1B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году.</w:t>
      </w:r>
    </w:p>
    <w:p w:rsidR="00E971C6" w:rsidRDefault="00E971C6">
      <w:pPr>
        <w:pStyle w:val="af8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971C6" w:rsidRDefault="00C525EA">
      <w:pPr>
        <w:shd w:val="clear" w:color="auto" w:fill="FFFFFF"/>
        <w:spacing w:after="300"/>
        <w:rPr>
          <w:rFonts w:ascii="OpenSans" w:eastAsia="Times New Roman" w:hAnsi="OpenSans"/>
          <w:color w:val="000000"/>
          <w:sz w:val="21"/>
          <w:szCs w:val="21"/>
        </w:rPr>
      </w:pPr>
      <w:r>
        <w:rPr>
          <w:rFonts w:ascii="OpenSans" w:eastAsia="Times New Roman" w:hAnsi="OpenSans"/>
          <w:color w:val="000000"/>
          <w:sz w:val="21"/>
          <w:szCs w:val="21"/>
        </w:rPr>
        <w:t>проводить открытые уроки по темам «Преобразование алгебраических выражений», «Построение и чтение графика функции», «Действия с геометрическими фигурами» , «Решение геометрической задачи с применением доказательных рассуждений».</w:t>
      </w:r>
    </w:p>
    <w:p w:rsidR="00E971C6" w:rsidRDefault="00C525EA">
      <w:pPr>
        <w:shd w:val="clear" w:color="auto" w:fill="FFFFFF"/>
        <w:spacing w:after="300"/>
        <w:rPr>
          <w:rFonts w:ascii="OpenSans" w:eastAsia="Times New Roman" w:hAnsi="OpenSans"/>
          <w:color w:val="000000"/>
          <w:sz w:val="21"/>
          <w:szCs w:val="21"/>
        </w:rPr>
      </w:pPr>
      <w:r>
        <w:rPr>
          <w:rFonts w:ascii="OpenSans" w:eastAsia="Times New Roman" w:hAnsi="OpenSans"/>
          <w:color w:val="000000"/>
          <w:sz w:val="21"/>
          <w:szCs w:val="21"/>
        </w:rPr>
        <w:t>-разнообразить формы проведения уроков повторения курса математики, использовать сайт «Решу ЕГЭ», «Математика 100» и другие</w:t>
      </w:r>
    </w:p>
    <w:p w:rsidR="00E971C6" w:rsidRDefault="00C525EA">
      <w:pPr>
        <w:shd w:val="clear" w:color="auto" w:fill="FFFFFF"/>
        <w:spacing w:after="300"/>
        <w:rPr>
          <w:rFonts w:ascii="OpenSans" w:eastAsia="Times New Roman" w:hAnsi="OpenSans"/>
          <w:color w:val="000000"/>
          <w:sz w:val="21"/>
          <w:szCs w:val="21"/>
        </w:rPr>
      </w:pPr>
      <w:r>
        <w:rPr>
          <w:rFonts w:ascii="OpenSans" w:eastAsia="Times New Roman" w:hAnsi="OpenSans"/>
          <w:color w:val="000000"/>
          <w:sz w:val="21"/>
          <w:szCs w:val="21"/>
        </w:rPr>
        <w:t>-участвовать в семинарах и вебинарах по темам изучения и повторения курса математики</w:t>
      </w:r>
    </w:p>
    <w:p w:rsidR="00E971C6" w:rsidRDefault="00E971C6">
      <w:pPr>
        <w:jc w:val="both"/>
        <w:rPr>
          <w:rFonts w:eastAsia="Times New Roman"/>
          <w:bCs/>
          <w:i/>
          <w:iCs/>
        </w:rPr>
      </w:pPr>
    </w:p>
    <w:p w:rsidR="00E971C6" w:rsidRDefault="00C525EA">
      <w:pPr>
        <w:pStyle w:val="af8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 связи динамики результатов проведения ЕГЭ с проведенными мероприятиями, предложенными для включения в дорожную карту в 202</w:t>
      </w:r>
      <w:r w:rsidRPr="004A1BA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</w:t>
      </w:r>
    </w:p>
    <w:p w:rsidR="00E971C6" w:rsidRDefault="00E971C6">
      <w:pPr>
        <w:pStyle w:val="af8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971C6" w:rsidRDefault="00C525EA">
      <w:pPr>
        <w:shd w:val="clear" w:color="auto" w:fill="FFFFFF"/>
        <w:spacing w:after="300"/>
        <w:rPr>
          <w:rFonts w:ascii="OpenSans" w:eastAsia="Times New Roman" w:hAnsi="OpenSans"/>
          <w:color w:val="000000"/>
          <w:sz w:val="21"/>
          <w:szCs w:val="21"/>
        </w:rPr>
      </w:pPr>
      <w:r>
        <w:rPr>
          <w:rFonts w:ascii="OpenSans" w:eastAsia="Times New Roman" w:hAnsi="OpenSans"/>
          <w:color w:val="000000"/>
          <w:sz w:val="21"/>
          <w:szCs w:val="21"/>
        </w:rPr>
        <w:t>Предложения по совершенствованию методики обучения учащихся с учетом выявленных проблемных элементов содержания на следующий учебный год</w:t>
      </w:r>
    </w:p>
    <w:p w:rsidR="00E971C6" w:rsidRDefault="00C525EA">
      <w:pPr>
        <w:shd w:val="clear" w:color="auto" w:fill="FFFFFF"/>
        <w:spacing w:after="300"/>
        <w:rPr>
          <w:rFonts w:ascii="OpenSans" w:eastAsia="Times New Roman" w:hAnsi="OpenSans"/>
          <w:color w:val="000000"/>
          <w:sz w:val="21"/>
          <w:szCs w:val="21"/>
        </w:rPr>
      </w:pPr>
      <w:r>
        <w:rPr>
          <w:rFonts w:ascii="OpenSans" w:eastAsia="Times New Roman" w:hAnsi="OpenSans"/>
          <w:color w:val="000000"/>
          <w:sz w:val="21"/>
          <w:szCs w:val="21"/>
        </w:rPr>
        <w:t>-вести планомерную подготовку к экзамену, используя открытый банк заданий ФИПИ, сайт «Решу ЕГЭ», типовые экзаменационные варианты, тренировочные и диагностические работы «СтатГрад»</w:t>
      </w:r>
    </w:p>
    <w:p w:rsidR="00E971C6" w:rsidRDefault="00C525EA">
      <w:pPr>
        <w:shd w:val="clear" w:color="auto" w:fill="FFFFFF"/>
        <w:spacing w:after="300"/>
        <w:rPr>
          <w:rFonts w:ascii="OpenSans" w:eastAsia="Times New Roman" w:hAnsi="OpenSans"/>
          <w:color w:val="000000"/>
          <w:sz w:val="21"/>
          <w:szCs w:val="21"/>
        </w:rPr>
      </w:pPr>
      <w:r>
        <w:rPr>
          <w:rFonts w:ascii="OpenSans" w:eastAsia="Times New Roman" w:hAnsi="OpenSans"/>
          <w:color w:val="000000"/>
          <w:sz w:val="21"/>
          <w:szCs w:val="21"/>
        </w:rPr>
        <w:t>-особое внимание уделить учащимся группы «риска», проводить дополнительные индивидуальные занятия, ежедневно контролировать выполнение домашней работы</w:t>
      </w:r>
    </w:p>
    <w:p w:rsidR="00E971C6" w:rsidRDefault="00C525EA">
      <w:pPr>
        <w:shd w:val="clear" w:color="auto" w:fill="FFFFFF"/>
        <w:spacing w:after="300"/>
        <w:rPr>
          <w:rFonts w:ascii="OpenSans" w:eastAsia="Times New Roman" w:hAnsi="OpenSans"/>
          <w:color w:val="000000"/>
          <w:sz w:val="21"/>
          <w:szCs w:val="21"/>
        </w:rPr>
      </w:pPr>
      <w:r>
        <w:rPr>
          <w:rFonts w:ascii="OpenSans" w:eastAsia="Times New Roman" w:hAnsi="OpenSans"/>
          <w:color w:val="000000"/>
          <w:sz w:val="21"/>
          <w:szCs w:val="21"/>
        </w:rPr>
        <w:t xml:space="preserve">- использовать на уроках повторения курса математики рабочие тетради по алгебре и геометрии И.В. Ященко. </w:t>
      </w:r>
    </w:p>
    <w:p w:rsidR="00E971C6" w:rsidRDefault="00E971C6">
      <w:pPr>
        <w:shd w:val="clear" w:color="auto" w:fill="FFFFFF"/>
        <w:spacing w:after="300"/>
        <w:rPr>
          <w:rFonts w:ascii="OpenSans" w:eastAsia="Times New Roman" w:hAnsi="OpenSans"/>
          <w:color w:val="000000"/>
          <w:sz w:val="21"/>
          <w:szCs w:val="21"/>
        </w:rPr>
      </w:pPr>
    </w:p>
    <w:p w:rsidR="00E971C6" w:rsidRDefault="00E971C6">
      <w:pPr>
        <w:pStyle w:val="af8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971C6" w:rsidRDefault="00C525EA">
      <w:pPr>
        <w:pStyle w:val="af8"/>
        <w:numPr>
          <w:ilvl w:val="0"/>
          <w:numId w:val="6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lastRenderedPageBreak/>
        <w:t>Прочие выводы</w:t>
      </w:r>
    </w:p>
    <w:p w:rsidR="00E971C6" w:rsidRDefault="00E971C6">
      <w:pPr>
        <w:pStyle w:val="af8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:rsidR="00E971C6" w:rsidRDefault="00C525EA">
      <w:pPr>
        <w:spacing w:line="360" w:lineRule="auto"/>
        <w:ind w:left="-425"/>
        <w:jc w:val="both"/>
      </w:pPr>
      <w:r>
        <w:t xml:space="preserve">Анализ результатов ЕГЭ по математике на базовом уровне свидетельствует о недостаточности у участников экзамена знаний по геометрии и умений решать геометрические задачи (как планиметрические, так и стереометрические). Низкий процент решения простейшего логарифмического уравнения, задачи на соответствие между числами и промежутками, нахождения вероятности события в простейших ситуациях, ошибки при выполнении действий с обыкновенными дробями говорят о несформированности основных понятий и алгоритмов решения задач числовой содержательной линии обучения математике. Снизился процент экзаменуемых, фактически не овладевших математическими компетенциями, требуемыми в повседневной жизни, и допускающих значительное число ошибок в вычислениях, при чтении условия задачи. С уверенностью можно констатировать, что у выпускников 2022 г. по математике базового уровня на достаточном уровне сформированы умения анализировать информацию, представленную на графиках и в таблицах, решать простейшие задачи на оптимальный выбор, устанавливать соответствия между величинами, выражать неизвестную величину через известные с помощью формулы, находить процент от числа, выполнять действия с обыкновенными дробями и преобразовывать простейшие выражения, содержащие арифметические квадратные корни и степень с целым показателем, решать простейшие текстовые задачи. Успешность выполнения 10 заданий (более 70%) свидетельствует об усвоении участниками экзамена программы математики средней школы на базовом уровне, наличии у выпускников общематематических умений, необходимых человеку в современном обществе. </w:t>
      </w:r>
    </w:p>
    <w:p w:rsidR="005129D6" w:rsidRDefault="005129D6">
      <w:pPr>
        <w:spacing w:line="360" w:lineRule="auto"/>
        <w:ind w:left="-425"/>
        <w:jc w:val="both"/>
      </w:pPr>
    </w:p>
    <w:p w:rsidR="005129D6" w:rsidRDefault="005129D6">
      <w:pPr>
        <w:spacing w:line="360" w:lineRule="auto"/>
        <w:ind w:left="-425"/>
        <w:jc w:val="both"/>
      </w:pPr>
    </w:p>
    <w:p w:rsidR="00E971C6" w:rsidRDefault="00C525EA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Раздел 4. РЕКОМЕНДАЦИИ ДЛЯ СИСТЕМЫ ОБРАЗОВАНИЯ СУБЪЕКТА РОССИЙСКОЙ ФЕДЕРАЦИИ</w:t>
      </w:r>
    </w:p>
    <w:p w:rsidR="00E971C6" w:rsidRDefault="00E971C6">
      <w:pPr>
        <w:rPr>
          <w:i/>
        </w:rPr>
      </w:pPr>
    </w:p>
    <w:p w:rsidR="00E971C6" w:rsidRDefault="00C525EA">
      <w:pPr>
        <w:ind w:firstLine="539"/>
        <w:jc w:val="both"/>
        <w:rPr>
          <w:b/>
          <w:i/>
        </w:rPr>
      </w:pPr>
      <w:r>
        <w:rPr>
          <w:b/>
          <w:i/>
        </w:rPr>
        <w:t xml:space="preserve">Рекомендации для системы образования субъекта Российской Федерации (далее - рекомендации) составляются на основе проведенного анализа выполнения заданий КИМ и выявленных типичных затруднений и ошибок (Раздел 3). </w:t>
      </w:r>
    </w:p>
    <w:p w:rsidR="00E971C6" w:rsidRDefault="00C525EA">
      <w:pPr>
        <w:ind w:firstLine="539"/>
        <w:jc w:val="both"/>
        <w:rPr>
          <w:b/>
          <w:i/>
        </w:rPr>
      </w:pPr>
      <w:r>
        <w:rPr>
          <w:b/>
          <w:i/>
        </w:rPr>
        <w:t xml:space="preserve">Основные требования: </w:t>
      </w:r>
    </w:p>
    <w:p w:rsidR="00E971C6" w:rsidRDefault="00C525EA">
      <w:pPr>
        <w:numPr>
          <w:ilvl w:val="0"/>
          <w:numId w:val="8"/>
        </w:numPr>
        <w:jc w:val="both"/>
        <w:rPr>
          <w:i/>
        </w:rPr>
      </w:pPr>
      <w:r>
        <w:rPr>
          <w:bCs/>
          <w:i/>
        </w:rPr>
        <w:t>рекомендации должны содержать описание конкретных методик / технологий / приемов обучения</w:t>
      </w:r>
      <w:r>
        <w:rPr>
          <w:i/>
        </w:rPr>
        <w:t xml:space="preserve">, организации различных этапов образовательного процесса; </w:t>
      </w:r>
    </w:p>
    <w:p w:rsidR="00E971C6" w:rsidRDefault="00C525EA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>рекомендации должны быть направлены на ликвидацию / предотвращение выявленных дефицитов в подготовке обучающихся;</w:t>
      </w:r>
    </w:p>
    <w:p w:rsidR="00E971C6" w:rsidRDefault="00C525EA">
      <w:pPr>
        <w:numPr>
          <w:ilvl w:val="0"/>
          <w:numId w:val="8"/>
        </w:numPr>
        <w:jc w:val="both"/>
        <w:rPr>
          <w:i/>
        </w:rPr>
      </w:pPr>
      <w:r>
        <w:rPr>
          <w:i/>
        </w:rPr>
        <w:t xml:space="preserve">рекомендации должны касаться как предметных, так и метапредметных аспектов подготовки обучающихся. </w:t>
      </w:r>
    </w:p>
    <w:p w:rsidR="00E971C6" w:rsidRDefault="005129D6">
      <w:pPr>
        <w:pStyle w:val="3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lastRenderedPageBreak/>
        <w:t xml:space="preserve">4.2. </w:t>
      </w:r>
      <w:r w:rsidR="00C525EA">
        <w:rPr>
          <w:rFonts w:ascii="Times New Roman" w:hAnsi="Times New Roman"/>
          <w:sz w:val="24"/>
          <w:szCs w:val="22"/>
        </w:rPr>
        <w:t xml:space="preserve">Рекомендации по темам для обсуждения на методических объединениях учителей-предметников, возможные направления повышения квалификации </w:t>
      </w:r>
    </w:p>
    <w:p w:rsidR="00E971C6" w:rsidRDefault="00C525EA">
      <w:pPr>
        <w:pStyle w:val="3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  <w:sz w:val="24"/>
          <w:szCs w:val="22"/>
        </w:rPr>
        <w:t xml:space="preserve"> </w:t>
      </w:r>
      <w:r>
        <w:rPr>
          <w:rFonts w:ascii="Times New Roman" w:hAnsi="Times New Roman"/>
          <w:b w:val="0"/>
          <w:bCs w:val="0"/>
        </w:rPr>
        <w:t xml:space="preserve">Анализ содержания КИМов ЕГЭ базового уровня показал, что для достижения успеха достаточно было освоения курсов алгебры, начал анализа и геометрии на базовом уровне по программам среднего общего образования по УМК федерального перечня. Недостаточность задач какого-либо типа в используемых УМК решается заимствованием их в дополнительных пособиях по подготовке к ЕГЭ, в «банке открытых задач» ФИПИ и др. Доступ к материалам открытого банка свободный для учащихся и учителей. Главные задачи открытого банка заданий ЕГЭ по математике – дать представление о том, какие задания войдут в варианты ЕГЭ по математике, помочь выпускникам сориентироваться при самостоятельной подготовке к экзамену, а учителям методически грамотно организовать эту подготовку, сконструировать систему задач по теме. Просто решать варианты – бесполезно. Варианты необходимо решать после обобщения и систематизации знаний по теме, рассмотрения нескольких тем. Предлагать учащимся в качестве домашнего задания с последующим обсуждением затруднений. Практика показывает, что прорешивание открытых вариантов ЕГЭ прошлых лет не дает ожидаемого эффекта. Разобрав вариант в классе, учитель дает аналогичный вариант для домашнего разбора. После удачного разбора в классе домашний вариант не представляет большого труда, у обучающегося и учителя складывается ложное впечатление, что подготовка идет эффективно и цель достигнута. Многократное повторение этих манипуляций не улучшает ситуацию. Когда участник на ЕГЭ получает свой вариант, он обнаруживает, что этот вариант он с учителем не решал. Привычка повторять разобранные ранее варианты часто идет во вред обучению. Правильным подходом является систематическое изучение материала, решение большого количества разнообразных задач по каждой теме – от простых к сложным, изучение методов решения задач. </w:t>
      </w:r>
    </w:p>
    <w:p w:rsidR="00E971C6" w:rsidRDefault="00C525EA">
      <w:pPr>
        <w:pStyle w:val="3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Разумеется, варианты из подготовительных сборников, открытые варианты прошедших экзаменов можно и нужно использовать, но их решение не должно становиться главной целью; они дают возможность иллюстрировать и отрабатывать методы, проверить степень готовности учащихся, но не являются основным инструментом подготовки к экзамену. В любом случае, при проведении диагностических работ следует подбирать задачи, прямые аналоги которых в классе не разбирались. Только так учитель может составить верное представление об уровне знаний и умений своих учеников. </w:t>
      </w:r>
    </w:p>
    <w:p w:rsidR="00E971C6" w:rsidRDefault="00C525EA">
      <w:pPr>
        <w:pStyle w:val="3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Изучение предмета на уровне «математика для жизни» не означает замены прохождения программы за курс средней школы натаскиванием на выполнение задания ЕГЭ по математике базового уровня. Основная проблема – в организации дифференцированного обучения математике учащихся с разным уровнем предметной подготовки. То есть это организационная и методическая проблема, на решение которой направлено внедрение ФГОС СОО. А пока задача учителя сделать обучение математике интересным и доступным для всех учащихся. Это требует от учителя большой самоотдачи и высокого уровня профессиональных компетенций. Среди учащихся есть те, которым математика не нужна для поступления в ВУЗ, но освоение программы не вызывает никаких проблем, и те, у которых освоения предмета вызывает трудности. </w:t>
      </w:r>
    </w:p>
    <w:p w:rsidR="00E971C6" w:rsidRDefault="00C525EA">
      <w:pPr>
        <w:pStyle w:val="3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 xml:space="preserve">На этапе подготовки к ГИА первой группе учащихся можно предоставить большую самостоятельность в прохождении совместно выработанного плана подготовки, тогда как учащимся второй группы, имеющим существенные пробелы в знании материала основной школы необходимо предложить план подготовки, включающий специальные программы компенсирующего обучения, как в виде очных, так и дистанционных курсов, позволяющих своевременно ликвидировать пробелы в математических знаниях. Учащиеся второй группы должны быть ориентированы на выполнение 8-10 первых заданий ЕГЭ по математике базового уровня. Важной частью ЕГЭ по математике являются задачи на применение математических знаний в быту, в реальных жизненных ситуациях. Это задачи на проценты, оптимальный выбор из предложенных вариантов, чтение данных, представленных в виде диаграмм, графиков или таблиц, вычисление площадей или других геометрических величин по рисунку, задачи на вычисление по формулам, задачи вероятностно-статистического блока. Сложилась практика, когда к практическим задачам учитель приступает только в последний год перед сдачей ЕГЭ. </w:t>
      </w:r>
    </w:p>
    <w:p w:rsidR="00E971C6" w:rsidRDefault="00C525EA">
      <w:pPr>
        <w:pStyle w:val="3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К этому времени обучающиеся успели прочно забыть, как вычислять проценты, как находить площади фигур на клетчатой бумаге и др. На протяжении всего периода обучения математике не следует забывать простые практические задачи; их следует включать в блоки повторения на протяжении всего учебного года, в текущий внутришкольный контроль. Задачи на вычисление сумм налогов, процентов по вкладу или кредиту, другие задачи финансового характера должны стать постоянным инструментом на уроках математики, поскольку эти задачи связывают наш предмет с окружающим миром и повседневной жизнью. Практико-ориентированные задачи нужно включать в изучение математики в средней и старшей школе. </w:t>
      </w:r>
    </w:p>
    <w:p w:rsidR="00E971C6" w:rsidRDefault="00C525EA">
      <w:pPr>
        <w:pStyle w:val="3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При этом характер и трудность задач могут меняться со временем; более того, это необходимо для органического сочетания практических тем и теоретических вопросов. Например, задачи на вклады и кредиты органично возникают при изучении прогрессий, показательной функции и производных. </w:t>
      </w:r>
    </w:p>
    <w:p w:rsidR="00E971C6" w:rsidRDefault="00C525EA">
      <w:pPr>
        <w:pStyle w:val="3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Вычисление площадей по клеточкам очень часто помогает при изучении совершенно абстрактной, казалось бы, темы «первообразная и интеграл». </w:t>
      </w:r>
    </w:p>
    <w:p w:rsidR="00E971C6" w:rsidRDefault="00C525EA">
      <w:pPr>
        <w:pStyle w:val="3"/>
        <w:numPr>
          <w:ilvl w:val="0"/>
          <w:numId w:val="0"/>
        </w:numPr>
        <w:tabs>
          <w:tab w:val="left" w:pos="567"/>
        </w:tabs>
        <w:jc w:val="both"/>
        <w:rPr>
          <w:rFonts w:ascii="Times New Roman" w:hAnsi="Times New Roman"/>
          <w:b w:val="0"/>
          <w:bCs w:val="0"/>
          <w:sz w:val="24"/>
          <w:szCs w:val="22"/>
        </w:rPr>
      </w:pPr>
      <w:r>
        <w:rPr>
          <w:rFonts w:ascii="Times New Roman" w:hAnsi="Times New Roman"/>
          <w:b w:val="0"/>
          <w:bCs w:val="0"/>
        </w:rPr>
        <w:t>Чтение простых графиков помогает понять и грамотно на качественном уровне применять производную. При решении практико-ориентированных задач необходимо обращать внимание учащихся на правдоподобность полученных ответов, учить проверять ответ на здравый смысл и соответствие реальности. Одним из ключевых направлений работы с учителями в рамках дополнительного профессионального образования должны стать вопросы методики организации обучения учащихся по различным направлениям «прикладной» математики (математика, необходимая для успешной жизни в современном обществе; математика, необходимая для прикладного использования в дальнейшей учебе и профессиональной деятельности; математика как подготовка к творческой работе в математике и других научных областях). Анализ ошибок участников ЕГЭ по математике с разным уровнем подготовки должен стать основой для планирования учителями математики траектории своего профессионального развития, построения методики обучения предмету, формирования мотивации.</w:t>
      </w:r>
    </w:p>
    <w:p w:rsidR="00E971C6" w:rsidRDefault="00E971C6">
      <w:pPr>
        <w:spacing w:line="360" w:lineRule="auto"/>
        <w:ind w:left="-425"/>
        <w:jc w:val="both"/>
      </w:pPr>
    </w:p>
    <w:p w:rsidR="005129D6" w:rsidRDefault="005129D6" w:rsidP="005129D6">
      <w:pPr>
        <w:pStyle w:val="af8"/>
        <w:keepNext/>
        <w:keepLines/>
        <w:numPr>
          <w:ilvl w:val="1"/>
          <w:numId w:val="11"/>
        </w:numPr>
        <w:tabs>
          <w:tab w:val="left" w:pos="567"/>
        </w:tabs>
        <w:spacing w:before="200"/>
        <w:jc w:val="both"/>
        <w:outlineLvl w:val="2"/>
        <w:rPr>
          <w:rFonts w:eastAsia="SimSun"/>
          <w:b/>
          <w:bCs/>
          <w:sz w:val="28"/>
        </w:rPr>
      </w:pPr>
      <w:r w:rsidRPr="005129D6">
        <w:rPr>
          <w:rFonts w:ascii="Times New Roman" w:eastAsia="SimSun" w:hAnsi="Times New Roman"/>
          <w:b/>
          <w:bCs/>
          <w:sz w:val="28"/>
        </w:rPr>
        <w:lastRenderedPageBreak/>
        <w:t xml:space="preserve">Информация о публикации (размещении) на открытых для общего доступа на страницах информационно-коммуникационных </w:t>
      </w:r>
      <w:r w:rsidRPr="005129D6">
        <w:rPr>
          <w:rFonts w:ascii="Times New Roman" w:eastAsia="SimSun" w:hAnsi="Times New Roman"/>
          <w:b/>
          <w:bCs/>
          <w:sz w:val="28"/>
          <w:lang w:val="x-none"/>
        </w:rPr>
        <w:t>интернет-ресурсах ОИВ (подведомственных учреждений) в неизменном или расширенном виде приведенных в статистико-аналитическ</w:t>
      </w:r>
      <w:r w:rsidRPr="005129D6">
        <w:rPr>
          <w:rFonts w:ascii="Times New Roman" w:eastAsia="SimSun" w:hAnsi="Times New Roman"/>
          <w:b/>
          <w:bCs/>
          <w:sz w:val="28"/>
        </w:rPr>
        <w:t>ом</w:t>
      </w:r>
      <w:r w:rsidRPr="005129D6">
        <w:rPr>
          <w:rFonts w:ascii="Times New Roman" w:eastAsia="SimSun" w:hAnsi="Times New Roman"/>
          <w:b/>
          <w:bCs/>
          <w:sz w:val="28"/>
          <w:lang w:val="x-none"/>
        </w:rPr>
        <w:t xml:space="preserve"> отчет</w:t>
      </w:r>
      <w:r w:rsidRPr="005129D6">
        <w:rPr>
          <w:rFonts w:ascii="Times New Roman" w:eastAsia="SimSun" w:hAnsi="Times New Roman"/>
          <w:b/>
          <w:bCs/>
          <w:sz w:val="28"/>
        </w:rPr>
        <w:t>е</w:t>
      </w:r>
      <w:r w:rsidRPr="005129D6">
        <w:rPr>
          <w:rFonts w:ascii="Times New Roman" w:eastAsia="SimSun" w:hAnsi="Times New Roman"/>
          <w:b/>
          <w:bCs/>
          <w:sz w:val="28"/>
          <w:lang w:val="x-none"/>
        </w:rPr>
        <w:t xml:space="preserve"> 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</w:t>
      </w:r>
      <w:r w:rsidRPr="005129D6">
        <w:rPr>
          <w:rFonts w:eastAsia="SimSun"/>
          <w:b/>
          <w:bCs/>
          <w:sz w:val="28"/>
        </w:rPr>
        <w:t>.</w:t>
      </w:r>
    </w:p>
    <w:p w:rsidR="00C525EA" w:rsidRPr="005129D6" w:rsidRDefault="00C525EA" w:rsidP="00C525EA">
      <w:pPr>
        <w:pStyle w:val="af8"/>
        <w:keepNext/>
        <w:keepLines/>
        <w:tabs>
          <w:tab w:val="left" w:pos="567"/>
        </w:tabs>
        <w:spacing w:before="200"/>
        <w:ind w:left="1146"/>
        <w:jc w:val="both"/>
        <w:outlineLvl w:val="2"/>
        <w:rPr>
          <w:rFonts w:eastAsia="SimSun"/>
          <w:b/>
          <w:bCs/>
          <w:sz w:val="28"/>
        </w:rPr>
      </w:pPr>
    </w:p>
    <w:p w:rsidR="005129D6" w:rsidRPr="005129D6" w:rsidRDefault="005129D6" w:rsidP="005129D6">
      <w:pPr>
        <w:pStyle w:val="af8"/>
        <w:keepNext/>
        <w:keepLines/>
        <w:numPr>
          <w:ilvl w:val="2"/>
          <w:numId w:val="11"/>
        </w:numPr>
        <w:spacing w:before="200"/>
        <w:outlineLvl w:val="2"/>
        <w:rPr>
          <w:rFonts w:ascii="Times New Roman" w:eastAsia="SimSun" w:hAnsi="Times New Roman"/>
          <w:sz w:val="28"/>
          <w:lang w:val="x-none"/>
        </w:rPr>
      </w:pPr>
      <w:r w:rsidRPr="005129D6">
        <w:rPr>
          <w:rFonts w:ascii="Times New Roman" w:eastAsia="SimSun" w:hAnsi="Times New Roman"/>
          <w:sz w:val="28"/>
          <w:lang w:val="x-none"/>
        </w:rPr>
        <w:t>Адрес страницы размещения</w:t>
      </w:r>
      <w:r w:rsidRPr="005129D6">
        <w:t xml:space="preserve"> </w:t>
      </w:r>
      <w:hyperlink r:id="rId19" w:history="1">
        <w:r w:rsidRPr="00822E83">
          <w:rPr>
            <w:rStyle w:val="afa"/>
            <w:rFonts w:ascii="Times New Roman" w:eastAsia="SimSun" w:hAnsi="Times New Roman"/>
            <w:sz w:val="28"/>
          </w:rPr>
          <w:t>https://ipkro.riobr.ru/analiz-rezultatov-ege/</w:t>
        </w:r>
      </w:hyperlink>
      <w:r>
        <w:rPr>
          <w:rFonts w:ascii="Times New Roman" w:eastAsia="SimSun" w:hAnsi="Times New Roman"/>
          <w:sz w:val="28"/>
        </w:rPr>
        <w:t xml:space="preserve"> </w:t>
      </w:r>
    </w:p>
    <w:p w:rsidR="005129D6" w:rsidRPr="00C525EA" w:rsidRDefault="005129D6" w:rsidP="005129D6">
      <w:pPr>
        <w:keepNext/>
        <w:keepLines/>
        <w:numPr>
          <w:ilvl w:val="2"/>
          <w:numId w:val="11"/>
        </w:numPr>
        <w:spacing w:before="200"/>
        <w:outlineLvl w:val="2"/>
        <w:rPr>
          <w:rFonts w:eastAsia="SimSun"/>
          <w:sz w:val="28"/>
          <w:u w:val="single"/>
          <w:lang w:val="x-none"/>
        </w:rPr>
      </w:pPr>
      <w:r w:rsidRPr="005129D6">
        <w:rPr>
          <w:rFonts w:eastAsia="SimSun"/>
          <w:sz w:val="28"/>
          <w:lang w:val="x-none"/>
        </w:rPr>
        <w:t>дата размещения (не позднее 12.09.2022)</w:t>
      </w:r>
      <w:r w:rsidRPr="005129D6">
        <w:rPr>
          <w:rFonts w:eastAsia="SimSun"/>
          <w:sz w:val="28"/>
        </w:rPr>
        <w:t xml:space="preserve"> </w:t>
      </w:r>
      <w:r w:rsidRPr="005129D6">
        <w:rPr>
          <w:rFonts w:eastAsia="SimSun"/>
          <w:sz w:val="28"/>
          <w:u w:val="single"/>
        </w:rPr>
        <w:t>29.08.2022</w:t>
      </w:r>
    </w:p>
    <w:p w:rsidR="00C525EA" w:rsidRPr="005129D6" w:rsidRDefault="00C525EA" w:rsidP="00C525EA">
      <w:pPr>
        <w:keepNext/>
        <w:keepLines/>
        <w:spacing w:before="200"/>
        <w:ind w:left="1572"/>
        <w:outlineLvl w:val="2"/>
        <w:rPr>
          <w:rFonts w:eastAsia="SimSun"/>
          <w:sz w:val="28"/>
          <w:u w:val="single"/>
          <w:lang w:val="x-none"/>
        </w:rPr>
      </w:pPr>
    </w:p>
    <w:p w:rsidR="00E971C6" w:rsidRDefault="00C525EA">
      <w:pPr>
        <w:pStyle w:val="3"/>
        <w:numPr>
          <w:ilvl w:val="0"/>
          <w:numId w:val="0"/>
        </w:numPr>
        <w:tabs>
          <w:tab w:val="left" w:pos="567"/>
        </w:tabs>
        <w:ind w:left="426"/>
      </w:pPr>
      <w:r>
        <w:rPr>
          <w:rFonts w:ascii="Times New Roman" w:hAnsi="Times New Roman"/>
          <w:szCs w:val="28"/>
        </w:rPr>
        <w:t xml:space="preserve">Раздел 5. Мероприятия, запланированные для включения в ДОРОЖНУЮ КАРТУ по развитию региональной системы образования </w:t>
      </w:r>
    </w:p>
    <w:p w:rsidR="00E971C6" w:rsidRDefault="00E971C6" w:rsidP="005129D6">
      <w:pPr>
        <w:pStyle w:val="af8"/>
        <w:keepNext/>
        <w:keepLines/>
        <w:numPr>
          <w:ilvl w:val="0"/>
          <w:numId w:val="11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:rsidR="00E971C6" w:rsidRDefault="00C525EA" w:rsidP="00C525EA">
      <w:pPr>
        <w:pStyle w:val="3"/>
        <w:numPr>
          <w:ilvl w:val="1"/>
          <w:numId w:val="12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 эффективности мероприятий, указанных в предложениях </w:t>
      </w:r>
      <w:r>
        <w:rPr>
          <w:rFonts w:ascii="Times New Roman" w:hAnsi="Times New Roman"/>
        </w:rPr>
        <w:br/>
        <w:t xml:space="preserve">в дорожную карту по развитию региональной системы образования </w:t>
      </w:r>
      <w:r>
        <w:rPr>
          <w:rFonts w:ascii="Times New Roman" w:hAnsi="Times New Roman"/>
        </w:rPr>
        <w:br/>
        <w:t xml:space="preserve">на 2021 – 2022 г. </w:t>
      </w:r>
    </w:p>
    <w:p w:rsidR="00E971C6" w:rsidRDefault="00C525EA">
      <w:pPr>
        <w:pStyle w:val="a9"/>
        <w:keepNext/>
      </w:pPr>
      <w:r>
        <w:t xml:space="preserve">Таблица </w:t>
      </w:r>
      <w:fldSimple w:instr=" STYLEREF 1 \s ">
        <w:r>
          <w:t>2</w:t>
        </w:r>
      </w:fldSimple>
      <w:r>
        <w:noBreakHyphen/>
      </w:r>
      <w:fldSimple w:instr=" SEQ Таблица \* ARABIC \s 1 ">
        <w:r>
          <w:t>14</w:t>
        </w:r>
      </w:fldSimple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528"/>
        <w:gridCol w:w="2557"/>
        <w:gridCol w:w="2835"/>
        <w:gridCol w:w="4926"/>
      </w:tblGrid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№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Показатели(дата, формат, место проведения, категории участников)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Выводы об эффективности</w:t>
            </w:r>
          </w:p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(или ее отсутствии), свидетельствующие о выводах факты, выводы о необходимости продолжения практики подобных мероприятий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1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Технологии организации обучения математике в условиях модернизации образования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21-22 августа 2021 года, региональная конференция работников образования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Эффективен.</w:t>
            </w:r>
          </w:p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Проведён анализ результата выпускников РИ ЕГЭ по математике, обозначены предметы обучения предмету и подготовки к ГИА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2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Умение решать экономические задачи как базовый компонент финансовой грамотности учителя математики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25 сентября 2021 года.</w:t>
            </w:r>
          </w:p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Региональный семинар учителей математики региона.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Эффективен. Формирование представления о различных видах экономических операций, развитие навыка составления математической модели экономических задач, научить на семинаре учителей математики экономических задач.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3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Эффективные методики подготовки к ГИА по математике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 xml:space="preserve">15 октября 2021 года. Региональный научно-методический </w:t>
            </w:r>
            <w:r w:rsidRPr="00C525EA">
              <w:rPr>
                <w:sz w:val="28"/>
                <w:szCs w:val="28"/>
              </w:rPr>
              <w:lastRenderedPageBreak/>
              <w:t>семинар учителей математики.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lastRenderedPageBreak/>
              <w:t xml:space="preserve">Эффективен. Диссимиляция эффективных методик подготовки к ГИА по математике. Разбор одного из кимов ЕГЭ по математике, </w:t>
            </w:r>
            <w:r w:rsidRPr="00C525EA">
              <w:rPr>
                <w:sz w:val="28"/>
                <w:szCs w:val="28"/>
              </w:rPr>
              <w:lastRenderedPageBreak/>
              <w:t>рассмотрены вопросы функциональной грамотности, теория вероятности и статистики в курсе математики и в итоговой аттестации, ключевые проблемы подготовки школьников по математике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lastRenderedPageBreak/>
              <w:t>4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Формирование у учащихся умения решать задачи социально-экономического содержания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30 октября 2021 года. Региональный научно-методочиский семинар учителей математики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Эффективен. Диссимиляция эффективных методик обучения учащихся к решению экономических задач. Выделены особенности обучения к различным типам экономических задач.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5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Интеграция традиционных и иновационных технологий обучения математике в контексте ФГОС ООО и ФГОС СОО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30 ноября 2021 года.</w:t>
            </w:r>
          </w:p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Региональный научно-методочиский конференция учителей математики</w:t>
            </w:r>
          </w:p>
          <w:p w:rsidR="00E971C6" w:rsidRPr="00C525EA" w:rsidRDefault="00E971C6" w:rsidP="00C525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Эффективен. Трансляция эффективных педогогических практик обучения математики учителями региона. Рассмотрены методы для повышения качества геометрического образования школьников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6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Формирование у учащихся умения моделировать при решении текстовых задач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18 декабря 2021 года.</w:t>
            </w:r>
          </w:p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Семинар учителей математики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Эффективен. Трансляция эффективных педогогических практик обучения математики учителями региона, рассмотрены методы построения математической модели одной из важнейших компонентов функциональной грамотности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7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Открытая школа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В течении года. Чтение лекций ведущими преподавателями ВУЗов региона учителями школ, ведущих в 10-11 классах.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Эффективен. Разбор наиболее трудных задач ЕГЭ, знакомство с критериями оценивания, анализ типичных ошибок.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8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Региональная Неделя Числа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15 января 2022 года. Учителя ОО РИ.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Проведены конкурсов проектов учащихся “Рациональные и иррациональные числа”,  региональный конкурс профессионального мастерства учителей математики по решению задач на числа.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9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Геометрические аналоги окружающего мира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5 февраля 2022 года. Региональный конкурс проектов учащихся.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 xml:space="preserve">Эффективен. Выявления творчески одарённых учащихся, через выявление и представление объектов геометрических моделей </w:t>
            </w:r>
            <w:r w:rsidRPr="00C525EA">
              <w:rPr>
                <w:sz w:val="28"/>
                <w:szCs w:val="28"/>
              </w:rPr>
              <w:lastRenderedPageBreak/>
              <w:t>окружающего мира.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Геометрия вокруг нас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3 марта 2022 года. Региональный конкурс проектов учащихся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Эффективен. Популяризация математических знаний, формирование познавательного интереса учащихся к геометрии.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11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Курносый куб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23 марта 2022 года.</w:t>
            </w:r>
          </w:p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Региональная интернет игра по математике. Для участия региона.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Эффективен. Формирование умения пользоваться научно популярной литературой по математике, расширение кругозора обучающихся посредством изучения, развития, логического мышления в условиях нестандартных ситуаций.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12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  <w:lang w:val="en-US"/>
              </w:rPr>
            </w:pPr>
            <w:r w:rsidRPr="00C525EA">
              <w:rPr>
                <w:sz w:val="28"/>
                <w:szCs w:val="28"/>
              </w:rPr>
              <w:t xml:space="preserve">Региональная </w:t>
            </w:r>
            <w:r w:rsidRPr="00C525EA">
              <w:rPr>
                <w:sz w:val="28"/>
                <w:szCs w:val="28"/>
                <w:lang w:val="en-US"/>
              </w:rPr>
              <w:t>“</w:t>
            </w:r>
            <w:r w:rsidRPr="00C525EA">
              <w:rPr>
                <w:sz w:val="28"/>
                <w:szCs w:val="28"/>
              </w:rPr>
              <w:t>Неделя Пифагора</w:t>
            </w:r>
            <w:r w:rsidRPr="00C525EA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10 апреля 2022 года. Конкурсы проекта учащихся “Комбинация геометрических фигур”, “Решение задач координатно-векторным методом”.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Поддержка интересов учащихся ОУ к изучению и расширению знаний по геометрии, развитие геометрического аспекта “Прикладного мышления” при решении задач, повышения уровня математической культуры на основе расширения знаний по геометрии, развитие образного мышления учащихся через моделирование и построение изображения. различных обьектов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13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Метапредмет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25 апреля 2022 года.</w:t>
            </w:r>
          </w:p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Региональный вебинар.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Эффективен.</w:t>
            </w:r>
          </w:p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Формирование мотивации изучения математики и опыта решения, практика - ориентированных задач.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14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Особенности подготовки выпускников средней школы к ЕГЭ по математике в 2021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17 мая 2022 года.</w:t>
            </w:r>
          </w:p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Региональный вебинар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Эффективен. Рассмотрены вопросы организации повторении и обобщения знаний на этапе подготовки учащихся к ЕГЭ по математике.</w:t>
            </w:r>
          </w:p>
        </w:tc>
      </w:tr>
      <w:tr w:rsidR="00E971C6" w:rsidTr="00C525EA">
        <w:tc>
          <w:tcPr>
            <w:tcW w:w="243" w:type="pct"/>
            <w:vAlign w:val="center"/>
          </w:tcPr>
          <w:p w:rsidR="00E971C6" w:rsidRDefault="00C525EA">
            <w:pPr>
              <w:jc w:val="center"/>
            </w:pPr>
            <w:r>
              <w:t>15</w:t>
            </w:r>
          </w:p>
        </w:tc>
        <w:tc>
          <w:tcPr>
            <w:tcW w:w="1179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Системность организации подготовки учащихся 9-ч классов к государственной итоговой аттестации по математике</w:t>
            </w:r>
          </w:p>
        </w:tc>
        <w:tc>
          <w:tcPr>
            <w:tcW w:w="1307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27 мая 2022 года.</w:t>
            </w:r>
          </w:p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Региональный семинар учителей, ведущих в выпускных классах</w:t>
            </w:r>
          </w:p>
        </w:tc>
        <w:tc>
          <w:tcPr>
            <w:tcW w:w="2271" w:type="pct"/>
            <w:vAlign w:val="center"/>
          </w:tcPr>
          <w:p w:rsidR="00E971C6" w:rsidRPr="00C525EA" w:rsidRDefault="00C525EA" w:rsidP="00C525EA">
            <w:pPr>
              <w:jc w:val="center"/>
              <w:rPr>
                <w:sz w:val="28"/>
                <w:szCs w:val="28"/>
              </w:rPr>
            </w:pPr>
            <w:r w:rsidRPr="00C525EA">
              <w:rPr>
                <w:sz w:val="28"/>
                <w:szCs w:val="28"/>
              </w:rPr>
              <w:t>Разработан комплект материалов для организация подготовки к ОГЭ по математике, участия 11-х классов к ЕГЭ по математике, организовано деятельность учителей по решению КИМов по предмету. Материалы активно использованы при организации дистанционного обучения</w:t>
            </w:r>
          </w:p>
        </w:tc>
      </w:tr>
    </w:tbl>
    <w:p w:rsidR="00E971C6" w:rsidRDefault="00C525EA" w:rsidP="00C525EA">
      <w:pPr>
        <w:pStyle w:val="3"/>
        <w:numPr>
          <w:ilvl w:val="1"/>
          <w:numId w:val="12"/>
        </w:numPr>
        <w:tabs>
          <w:tab w:val="left" w:pos="567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Планируемые меры методической поддержки изучения учебных предметов в 2022-2023 уч. г. на региональном уровне. </w:t>
      </w:r>
    </w:p>
    <w:p w:rsidR="00C525EA" w:rsidRPr="00C525EA" w:rsidRDefault="00C525EA" w:rsidP="007A2C02">
      <w:pPr>
        <w:pStyle w:val="3"/>
        <w:numPr>
          <w:ilvl w:val="2"/>
          <w:numId w:val="12"/>
        </w:numPr>
        <w:tabs>
          <w:tab w:val="left" w:pos="567"/>
        </w:tabs>
      </w:pPr>
      <w:r>
        <w:rPr>
          <w:rFonts w:ascii="Times New Roman" w:hAnsi="Times New Roman"/>
          <w:b w:val="0"/>
        </w:rPr>
        <w:t>Планируемые мероприятия методической поддержки изучения учебных предметов в 2022-2023 уч. г. на региональном уровне, в том числе в ОО с аномально низкими результатами ЕГЭ 2022 г.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80"/>
        <w:gridCol w:w="2122"/>
        <w:gridCol w:w="7618"/>
      </w:tblGrid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Дата</w:t>
            </w:r>
          </w:p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(месяц)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Мероприятие(указать тему и организацию, котора планирует проведение мероприятия)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14-16 августа 2022 года, региональная конференция работников образования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jc w:val="both"/>
              <w:rPr>
                <w:rFonts w:eastAsia="SimSun"/>
                <w:bCs/>
              </w:rPr>
            </w:pPr>
            <w:r w:rsidRPr="00C525EA">
              <w:rPr>
                <w:rFonts w:eastAsia="SimSun"/>
                <w:bCs/>
              </w:rPr>
              <w:t>Эффективен.</w:t>
            </w:r>
          </w:p>
          <w:p w:rsidR="00C525EA" w:rsidRPr="00C525EA" w:rsidRDefault="00C525EA" w:rsidP="00C525EA">
            <w:pPr>
              <w:jc w:val="both"/>
            </w:pPr>
            <w:r w:rsidRPr="00C525EA">
              <w:rPr>
                <w:rFonts w:eastAsia="SimSun"/>
                <w:bCs/>
              </w:rPr>
              <w:t>Проведён анализ результата выпускников РИ ЕГЭ по математике, обозначены предметы обучения предмету и подготовки к ГИА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15 сентября.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Региональный научно-методический семинар “Эффективные методики подготовки по математике” ИПК РИ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5 октября.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Региональный научно-методический семинар “Функциональный грамотность: способы формирования”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10 ноября.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Региональный научно-методический семинар “Как научить учащихся решать текстовые задачи?”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25 ноября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Региональный интеллектуальный, командный конкурс учащихся “Математическая регата”. Школы РИ с углублённым обучением математики.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13 декабря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Региональный научно-методичекий практикум “Связь функциональной линии с другими содержательным линиями школьного курса математики”.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15 января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Научно-методический семинар “Методика обучения учащихся к решению геометрических задач: проблемы, опыт, технологии”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1 февраля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Региональный интернет-конкурс для учителей математики по технике решения задач ЕГЭ.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10 марта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Научно-методический семинар “Реализация индивидуального и личностно ориентированного подходов при подготовке к ГИА по математике”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23 марта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Региональный профессиональный конкурс учителей математики по освоению нового содержания обучения предмету.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15 мая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Конкурс проектов учащихся “Удивительная математика”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12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23 мая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Вебинар “Особенности подготовки выпускников средней школы к ЕГЭ по математике в 2023 году”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24 мая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Вебинар “Системность организации подготовки учащихся 9-х классов к государственной итоговой аттестации по математике”</w:t>
            </w:r>
          </w:p>
        </w:tc>
      </w:tr>
      <w:tr w:rsidR="00C525EA" w:rsidTr="00C525EA">
        <w:tc>
          <w:tcPr>
            <w:tcW w:w="680" w:type="dxa"/>
          </w:tcPr>
          <w:p w:rsid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14</w:t>
            </w:r>
          </w:p>
        </w:tc>
        <w:tc>
          <w:tcPr>
            <w:tcW w:w="2122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>25 мая</w:t>
            </w:r>
          </w:p>
        </w:tc>
        <w:tc>
          <w:tcPr>
            <w:tcW w:w="7618" w:type="dxa"/>
          </w:tcPr>
          <w:p w:rsidR="00C525EA" w:rsidRPr="00C525EA" w:rsidRDefault="00C525EA" w:rsidP="00C525EA">
            <w:pPr>
              <w:pStyle w:val="3"/>
              <w:numPr>
                <w:ilvl w:val="0"/>
                <w:numId w:val="0"/>
              </w:num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</w:rPr>
            </w:pPr>
            <w:r w:rsidRPr="00C525EA">
              <w:rPr>
                <w:rFonts w:ascii="Times New Roman" w:hAnsi="Times New Roman"/>
                <w:b w:val="0"/>
                <w:sz w:val="24"/>
              </w:rPr>
              <w:t xml:space="preserve">Семинар “Методика обучения учащихся решению задач с </w:t>
            </w:r>
            <w:r w:rsidRPr="00C525EA">
              <w:rPr>
                <w:rFonts w:ascii="Times New Roman" w:hAnsi="Times New Roman"/>
                <w:b w:val="0"/>
                <w:sz w:val="24"/>
              </w:rPr>
              <w:lastRenderedPageBreak/>
              <w:t>параметрами: аналитичеки и геометричеки способы решения.”</w:t>
            </w:r>
          </w:p>
        </w:tc>
      </w:tr>
    </w:tbl>
    <w:p w:rsidR="00C525EA" w:rsidRDefault="00C525EA" w:rsidP="00C525EA"/>
    <w:p w:rsidR="00C525EA" w:rsidRPr="00C525EA" w:rsidRDefault="00C525EA" w:rsidP="00C525EA"/>
    <w:p w:rsidR="007A2C02" w:rsidRPr="007A2C02" w:rsidRDefault="007A2C02" w:rsidP="007A2C02">
      <w:pPr>
        <w:pStyle w:val="3"/>
        <w:numPr>
          <w:ilvl w:val="2"/>
          <w:numId w:val="12"/>
        </w:numPr>
        <w:tabs>
          <w:tab w:val="left" w:pos="567"/>
        </w:tabs>
        <w:ind w:left="993"/>
        <w:jc w:val="both"/>
        <w:rPr>
          <w:rFonts w:ascii="Times New Roman" w:hAnsi="Times New Roman"/>
        </w:rPr>
      </w:pPr>
      <w:r w:rsidRPr="007A2C02">
        <w:rPr>
          <w:rFonts w:ascii="Times New Roman" w:hAnsi="Times New Roman"/>
        </w:rPr>
        <w:t>Трансляция эффективных педагогических практик ОО с наиболее высокими результатами ЕГЭ 2022 г.</w:t>
      </w:r>
    </w:p>
    <w:p w:rsidR="00E971C6" w:rsidRDefault="00E971C6"/>
    <w:p w:rsidR="00E971C6" w:rsidRDefault="00E971C6"/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4"/>
        <w:gridCol w:w="1462"/>
        <w:gridCol w:w="8327"/>
      </w:tblGrid>
      <w:tr w:rsidR="00E971C6" w:rsidTr="007A2C02">
        <w:tc>
          <w:tcPr>
            <w:tcW w:w="814" w:type="dxa"/>
          </w:tcPr>
          <w:p w:rsidR="00E971C6" w:rsidRDefault="00C525EA">
            <w:pPr>
              <w:jc w:val="center"/>
            </w:pPr>
            <w:r>
              <w:t>№</w:t>
            </w:r>
          </w:p>
        </w:tc>
        <w:tc>
          <w:tcPr>
            <w:tcW w:w="1279" w:type="dxa"/>
          </w:tcPr>
          <w:p w:rsidR="00E971C6" w:rsidRDefault="00C525EA">
            <w:pPr>
              <w:jc w:val="center"/>
            </w:pPr>
            <w:r>
              <w:t>Дата(месяц)</w:t>
            </w:r>
          </w:p>
        </w:tc>
        <w:tc>
          <w:tcPr>
            <w:tcW w:w="8327" w:type="dxa"/>
          </w:tcPr>
          <w:p w:rsidR="00E971C6" w:rsidRDefault="00C525EA">
            <w:pPr>
              <w:jc w:val="center"/>
            </w:pPr>
            <w:r>
              <w:t>Мероприятие(указать тему и организацию, котора планирует проведение мероприятия)</w:t>
            </w:r>
          </w:p>
        </w:tc>
      </w:tr>
      <w:tr w:rsidR="00E971C6" w:rsidTr="007A2C02">
        <w:tc>
          <w:tcPr>
            <w:tcW w:w="814" w:type="dxa"/>
          </w:tcPr>
          <w:p w:rsidR="00E971C6" w:rsidRDefault="00C525EA">
            <w:pPr>
              <w:jc w:val="center"/>
            </w:pPr>
            <w:r>
              <w:t>1</w:t>
            </w:r>
          </w:p>
        </w:tc>
        <w:tc>
          <w:tcPr>
            <w:tcW w:w="1279" w:type="dxa"/>
          </w:tcPr>
          <w:p w:rsidR="00E971C6" w:rsidRDefault="00C525EA">
            <w:pPr>
              <w:jc w:val="center"/>
            </w:pPr>
            <w:r>
              <w:t>20 сентября</w:t>
            </w:r>
          </w:p>
        </w:tc>
        <w:tc>
          <w:tcPr>
            <w:tcW w:w="8327" w:type="dxa"/>
          </w:tcPr>
          <w:p w:rsidR="00E971C6" w:rsidRPr="004A1BA4" w:rsidRDefault="00C525EA">
            <w:pPr>
              <w:jc w:val="center"/>
            </w:pPr>
            <w:r>
              <w:t xml:space="preserve">Региональный научно -методический практикум </w:t>
            </w:r>
            <w:r w:rsidRPr="004A1BA4">
              <w:t>“</w:t>
            </w:r>
            <w:r>
              <w:t>Обучения учащихся решению задач по сложным темам школьного курса математики</w:t>
            </w:r>
            <w:r w:rsidRPr="004A1BA4">
              <w:t>”</w:t>
            </w:r>
          </w:p>
        </w:tc>
      </w:tr>
      <w:tr w:rsidR="00E971C6" w:rsidTr="007A2C02">
        <w:tc>
          <w:tcPr>
            <w:tcW w:w="814" w:type="dxa"/>
          </w:tcPr>
          <w:p w:rsidR="00E971C6" w:rsidRDefault="00C525EA">
            <w:pPr>
              <w:jc w:val="center"/>
            </w:pPr>
            <w:r>
              <w:t>2</w:t>
            </w:r>
          </w:p>
        </w:tc>
        <w:tc>
          <w:tcPr>
            <w:tcW w:w="1279" w:type="dxa"/>
          </w:tcPr>
          <w:p w:rsidR="00E971C6" w:rsidRDefault="00C525EA">
            <w:pPr>
              <w:jc w:val="center"/>
            </w:pPr>
            <w:r>
              <w:rPr>
                <w:lang w:val="en-US"/>
              </w:rPr>
              <w:t xml:space="preserve">15 </w:t>
            </w:r>
            <w:r>
              <w:t>октября</w:t>
            </w:r>
          </w:p>
        </w:tc>
        <w:tc>
          <w:tcPr>
            <w:tcW w:w="8327" w:type="dxa"/>
          </w:tcPr>
          <w:p w:rsidR="00E971C6" w:rsidRPr="004A1BA4" w:rsidRDefault="00C525EA">
            <w:pPr>
              <w:jc w:val="center"/>
            </w:pPr>
            <w:r>
              <w:t xml:space="preserve">Региональный научный методический семинар </w:t>
            </w:r>
            <w:r w:rsidRPr="004A1BA4">
              <w:t>“</w:t>
            </w:r>
            <w:r>
              <w:t>Формирование у учащихся умения решать экономическую задачу ЕГЭ по математике</w:t>
            </w:r>
            <w:r w:rsidRPr="004A1BA4">
              <w:t>”</w:t>
            </w:r>
          </w:p>
        </w:tc>
      </w:tr>
      <w:tr w:rsidR="00E971C6" w:rsidTr="007A2C02">
        <w:tc>
          <w:tcPr>
            <w:tcW w:w="814" w:type="dxa"/>
          </w:tcPr>
          <w:p w:rsidR="00E971C6" w:rsidRDefault="00C525EA">
            <w:pPr>
              <w:jc w:val="center"/>
            </w:pPr>
            <w:r>
              <w:t>3</w:t>
            </w:r>
          </w:p>
        </w:tc>
        <w:tc>
          <w:tcPr>
            <w:tcW w:w="1279" w:type="dxa"/>
          </w:tcPr>
          <w:p w:rsidR="00E971C6" w:rsidRDefault="00C525EA">
            <w:pPr>
              <w:jc w:val="center"/>
            </w:pPr>
            <w:r>
              <w:t>13 ноября</w:t>
            </w:r>
          </w:p>
        </w:tc>
        <w:tc>
          <w:tcPr>
            <w:tcW w:w="8327" w:type="dxa"/>
          </w:tcPr>
          <w:p w:rsidR="00E971C6" w:rsidRPr="004A1BA4" w:rsidRDefault="00C525EA">
            <w:pPr>
              <w:jc w:val="center"/>
            </w:pPr>
            <w:r>
              <w:t xml:space="preserve">Научно -методический семинар </w:t>
            </w:r>
            <w:r w:rsidRPr="004A1BA4">
              <w:t>“</w:t>
            </w:r>
            <w:r>
              <w:t>Проблемы организации практической, проектной и научно - исследовательской деятельности учащихся при обучении математике в контексте ФГОС ОО</w:t>
            </w:r>
            <w:r w:rsidRPr="004A1BA4">
              <w:t>”</w:t>
            </w:r>
          </w:p>
        </w:tc>
      </w:tr>
      <w:tr w:rsidR="00E971C6" w:rsidTr="007A2C02">
        <w:tc>
          <w:tcPr>
            <w:tcW w:w="814" w:type="dxa"/>
          </w:tcPr>
          <w:p w:rsidR="00E971C6" w:rsidRDefault="00C52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9" w:type="dxa"/>
          </w:tcPr>
          <w:p w:rsidR="00E971C6" w:rsidRDefault="00C525EA">
            <w:pPr>
              <w:jc w:val="center"/>
            </w:pPr>
            <w:r>
              <w:t>10 декабря</w:t>
            </w:r>
          </w:p>
        </w:tc>
        <w:tc>
          <w:tcPr>
            <w:tcW w:w="8327" w:type="dxa"/>
          </w:tcPr>
          <w:p w:rsidR="00E971C6" w:rsidRPr="004A1BA4" w:rsidRDefault="00C525EA">
            <w:pPr>
              <w:jc w:val="center"/>
            </w:pPr>
            <w:r>
              <w:t xml:space="preserve">Региональная научно-методическая конференция учитилей математики </w:t>
            </w:r>
            <w:r w:rsidRPr="004A1BA4">
              <w:t>“</w:t>
            </w:r>
            <w:r>
              <w:t>Интеграция традиционных и инновационных технологий обучения математики в контексте ФГОС ООО и ФГОС СОО</w:t>
            </w:r>
            <w:r w:rsidRPr="004A1BA4">
              <w:t>”</w:t>
            </w:r>
          </w:p>
        </w:tc>
      </w:tr>
      <w:tr w:rsidR="00E971C6" w:rsidTr="007A2C02">
        <w:tc>
          <w:tcPr>
            <w:tcW w:w="814" w:type="dxa"/>
          </w:tcPr>
          <w:p w:rsidR="00E971C6" w:rsidRDefault="00C52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79" w:type="dxa"/>
          </w:tcPr>
          <w:p w:rsidR="00E971C6" w:rsidRDefault="00C525EA">
            <w:pPr>
              <w:jc w:val="center"/>
            </w:pPr>
            <w:r>
              <w:t>17 января</w:t>
            </w:r>
          </w:p>
        </w:tc>
        <w:tc>
          <w:tcPr>
            <w:tcW w:w="8327" w:type="dxa"/>
          </w:tcPr>
          <w:p w:rsidR="00E971C6" w:rsidRPr="004A1BA4" w:rsidRDefault="00C525EA">
            <w:pPr>
              <w:jc w:val="center"/>
            </w:pPr>
            <w:r>
              <w:t xml:space="preserve">Научно-методический практикум </w:t>
            </w:r>
            <w:r w:rsidRPr="004A1BA4">
              <w:t>“</w:t>
            </w:r>
            <w:r>
              <w:t>Формирование у учащихся умения моделировать при решении текстовых задач</w:t>
            </w:r>
            <w:r w:rsidRPr="004A1BA4">
              <w:t>”</w:t>
            </w:r>
          </w:p>
        </w:tc>
      </w:tr>
      <w:tr w:rsidR="00E971C6" w:rsidTr="007A2C02">
        <w:tc>
          <w:tcPr>
            <w:tcW w:w="814" w:type="dxa"/>
          </w:tcPr>
          <w:p w:rsidR="00E971C6" w:rsidRDefault="00C52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79" w:type="dxa"/>
          </w:tcPr>
          <w:p w:rsidR="00E971C6" w:rsidRDefault="00C525EA">
            <w:pPr>
              <w:jc w:val="center"/>
            </w:pPr>
            <w:r>
              <w:t>5 февраля</w:t>
            </w:r>
          </w:p>
        </w:tc>
        <w:tc>
          <w:tcPr>
            <w:tcW w:w="8327" w:type="dxa"/>
          </w:tcPr>
          <w:p w:rsidR="00E971C6" w:rsidRPr="004A1BA4" w:rsidRDefault="00C525EA">
            <w:pPr>
              <w:jc w:val="center"/>
            </w:pPr>
            <w:r>
              <w:t xml:space="preserve">Научно-методический семинар </w:t>
            </w:r>
            <w:r w:rsidRPr="004A1BA4">
              <w:t>“</w:t>
            </w:r>
            <w:r>
              <w:t>Обучения учащихся математической деятельности: проблемы, опыт, инновации</w:t>
            </w:r>
            <w:r w:rsidRPr="004A1BA4">
              <w:t>”</w:t>
            </w:r>
          </w:p>
        </w:tc>
      </w:tr>
      <w:tr w:rsidR="00E971C6" w:rsidTr="007A2C02">
        <w:tc>
          <w:tcPr>
            <w:tcW w:w="814" w:type="dxa"/>
          </w:tcPr>
          <w:p w:rsidR="00E971C6" w:rsidRDefault="00C525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9" w:type="dxa"/>
          </w:tcPr>
          <w:p w:rsidR="00E971C6" w:rsidRDefault="00C525EA">
            <w:pPr>
              <w:jc w:val="center"/>
            </w:pPr>
            <w:r>
              <w:rPr>
                <w:lang w:val="en-US"/>
              </w:rPr>
              <w:t xml:space="preserve">25 </w:t>
            </w:r>
            <w:r>
              <w:t>февраля</w:t>
            </w:r>
          </w:p>
        </w:tc>
        <w:tc>
          <w:tcPr>
            <w:tcW w:w="8327" w:type="dxa"/>
          </w:tcPr>
          <w:p w:rsidR="00E971C6" w:rsidRPr="004A1BA4" w:rsidRDefault="00C525EA">
            <w:pPr>
              <w:jc w:val="center"/>
            </w:pPr>
            <w:r>
              <w:t xml:space="preserve">Научно-методический семинар </w:t>
            </w:r>
            <w:r w:rsidRPr="004A1BA4">
              <w:t>“</w:t>
            </w:r>
            <w:r>
              <w:t>Методика обучения тригонометрии: проблемы, опыт инновации</w:t>
            </w:r>
            <w:r w:rsidRPr="004A1BA4">
              <w:t>”</w:t>
            </w:r>
          </w:p>
        </w:tc>
      </w:tr>
      <w:tr w:rsidR="00E971C6" w:rsidTr="007A2C02">
        <w:tc>
          <w:tcPr>
            <w:tcW w:w="814" w:type="dxa"/>
          </w:tcPr>
          <w:p w:rsidR="00E971C6" w:rsidRDefault="00C525EA">
            <w:pPr>
              <w:jc w:val="center"/>
            </w:pPr>
            <w:r>
              <w:t>8</w:t>
            </w:r>
          </w:p>
        </w:tc>
        <w:tc>
          <w:tcPr>
            <w:tcW w:w="1279" w:type="dxa"/>
          </w:tcPr>
          <w:p w:rsidR="00E971C6" w:rsidRDefault="00C525EA">
            <w:pPr>
              <w:jc w:val="center"/>
            </w:pPr>
            <w:r>
              <w:t>25 марта</w:t>
            </w:r>
          </w:p>
        </w:tc>
        <w:tc>
          <w:tcPr>
            <w:tcW w:w="8327" w:type="dxa"/>
          </w:tcPr>
          <w:p w:rsidR="00E971C6" w:rsidRPr="004A1BA4" w:rsidRDefault="00C525EA">
            <w:pPr>
              <w:jc w:val="center"/>
            </w:pPr>
            <w:r>
              <w:t xml:space="preserve">Педагогическая научно-методическая конференция </w:t>
            </w:r>
            <w:r w:rsidRPr="004A1BA4">
              <w:t>“</w:t>
            </w:r>
            <w:r>
              <w:t>Математика познающая мир</w:t>
            </w:r>
            <w:r w:rsidRPr="004A1BA4">
              <w:t>”</w:t>
            </w:r>
          </w:p>
        </w:tc>
      </w:tr>
    </w:tbl>
    <w:p w:rsidR="00E971C6" w:rsidRDefault="00E971C6">
      <w:pPr>
        <w:jc w:val="center"/>
      </w:pPr>
    </w:p>
    <w:p w:rsidR="00E971C6" w:rsidRDefault="00E971C6"/>
    <w:p w:rsidR="00E971C6" w:rsidRDefault="00C525EA">
      <w:pPr>
        <w:pStyle w:val="a9"/>
        <w:keepNext/>
      </w:pPr>
      <w:r>
        <w:t xml:space="preserve">Таблица </w:t>
      </w:r>
      <w:fldSimple w:instr=" STYLEREF 1 \s ">
        <w:r>
          <w:t>2</w:t>
        </w:r>
      </w:fldSimple>
      <w:r>
        <w:noBreakHyphen/>
      </w:r>
      <w:fldSimple w:instr=" SEQ Таблица \* ARABIC \s 1 ">
        <w:r>
          <w:t>1</w:t>
        </w:r>
      </w:fldSimple>
      <w:r>
        <w:t>6</w:t>
      </w:r>
    </w:p>
    <w:p w:rsidR="00E971C6" w:rsidRDefault="00C525EA" w:rsidP="007A2C02">
      <w:pPr>
        <w:pStyle w:val="3"/>
        <w:numPr>
          <w:ilvl w:val="2"/>
          <w:numId w:val="12"/>
        </w:numPr>
        <w:tabs>
          <w:tab w:val="left" w:pos="567"/>
        </w:tabs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Планируемые корректирующие диагностические работы с учетом результатов ЕГЭ 2022 г.</w:t>
      </w:r>
    </w:p>
    <w:p w:rsidR="00E971C6" w:rsidRDefault="00E971C6"/>
    <w:p w:rsidR="00E971C6" w:rsidRDefault="00C525EA" w:rsidP="007A2C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2023 года планируется проведение традиционной региональной проверочной работы (РПР) "Исследование функциональной грамотности обучающихся общеобразовательных организаций" в целях оценки способности учащихся использовать приобретённые в школе знания и опыт для широкого диапазона жизненных задач в различных сферах человеческой деятельности, общения и социальных отношений. В основе концепции РПР – идеология международного сравнительного исследования PISA. По итогам РПР будет определяться уровень сформированности функциональной грамотности 83 обучающихся. Выборка ОО – участников РПР будет определяться на региональном уровне с учетом результов ЕГЭ. На региональном уровне  будут разработаны контрольные измерительные материалы для проведения региональных, муниципальных и школьных диагностических работ "Исследование сформированности у обучающихся метапредметных образовательных результатов". Данные диагностические работы будут проводиться в течение учебного года по планам-графикам, сформированным в соответствии с Рекомендациями </w:t>
      </w:r>
      <w:r>
        <w:rPr>
          <w:sz w:val="28"/>
          <w:szCs w:val="28"/>
        </w:rPr>
        <w:lastRenderedPageBreak/>
        <w:t>Министерства просвещения Российской Федерации и Федеральной службы по надзору в сфере образования и науки для системы общего образования по основным подходам к формированию графика проведения оценочных процедур в общеобразовательных организациях. В течение учебного года  по заявкам ОО планируется проведение пробного тестирования обучающихся по материалам ФГБНУ "ФИПИ" в формате ЕГЭ.</w:t>
      </w:r>
    </w:p>
    <w:p w:rsidR="00E971C6" w:rsidRDefault="00E971C6"/>
    <w:p w:rsidR="00E971C6" w:rsidRDefault="00C525EA" w:rsidP="007A2C02">
      <w:pPr>
        <w:pStyle w:val="3"/>
        <w:numPr>
          <w:ilvl w:val="1"/>
          <w:numId w:val="12"/>
        </w:numPr>
        <w:tabs>
          <w:tab w:val="left" w:pos="567"/>
        </w:tabs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Работа по другим направлениям</w:t>
      </w:r>
    </w:p>
    <w:p w:rsidR="00E971C6" w:rsidRDefault="00E971C6"/>
    <w:p w:rsidR="00E971C6" w:rsidRDefault="00C525EA" w:rsidP="007A2C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традиционных мероприятий – региональные недели Числа, Пифагора и Теории вероятностей, в рамках которых проходят открытые уроки, конкурсы для учащихся и учителей. Реализация проект для учащихся 10-11 классов «Открытая школа» – чтение лекций по математике ведущими преподавателями вузов для учащихся региона. Проведение </w:t>
      </w:r>
      <w:r w:rsidRPr="004A1BA4">
        <w:rPr>
          <w:sz w:val="28"/>
          <w:szCs w:val="28"/>
        </w:rPr>
        <w:t>“</w:t>
      </w:r>
      <w:r>
        <w:rPr>
          <w:sz w:val="28"/>
          <w:szCs w:val="28"/>
        </w:rPr>
        <w:t>Школы олимпиадной математики</w:t>
      </w:r>
      <w:r w:rsidRPr="004A1BA4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E971C6" w:rsidRDefault="00C525EA" w:rsidP="007A2C0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Предложенные мероприятия в целом охватывают все направления развития региональной системы образования в части реализации в общеобразовательных организациях РИ учебного предмета "математика". В ходе работы по мере необходимости будет проводиться корректировка мероприятий, реализуемых совместно с профессионально</w:t>
      </w:r>
      <w:r w:rsidRPr="004A1BA4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педагогическим сообществом.</w:t>
      </w:r>
    </w:p>
    <w:p w:rsidR="00E971C6" w:rsidRDefault="00E971C6"/>
    <w:p w:rsidR="00FE2D9B" w:rsidRDefault="00FE2D9B" w:rsidP="00FE2D9B">
      <w:pPr>
        <w:spacing w:line="360" w:lineRule="auto"/>
        <w:jc w:val="center"/>
      </w:pPr>
    </w:p>
    <w:p w:rsidR="00FE2D9B" w:rsidRDefault="00FE2D9B" w:rsidP="00FE2D9B">
      <w:pPr>
        <w:spacing w:line="360" w:lineRule="auto"/>
        <w:jc w:val="center"/>
      </w:pPr>
      <w:r>
        <w:t xml:space="preserve">СОСТАВИТЕЛИ ОТЧЕТА по учебному предмету </w:t>
      </w:r>
      <w:r w:rsidRPr="008D40FE">
        <w:rPr>
          <w:b/>
        </w:rPr>
        <w:t xml:space="preserve">МАТЕМАТИКА </w:t>
      </w:r>
      <w:r>
        <w:rPr>
          <w:b/>
        </w:rPr>
        <w:t>базовая</w:t>
      </w:r>
    </w:p>
    <w:p w:rsidR="00FE2D9B" w:rsidRDefault="00FE2D9B" w:rsidP="00FE2D9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организации, проводящей анализ результатов ГИА</w:t>
      </w:r>
    </w:p>
    <w:p w:rsidR="00FE2D9B" w:rsidRPr="008D40FE" w:rsidRDefault="00FE2D9B" w:rsidP="00FE2D9B">
      <w:pPr>
        <w:spacing w:line="360" w:lineRule="auto"/>
        <w:jc w:val="center"/>
        <w:rPr>
          <w:b/>
          <w:sz w:val="28"/>
          <w:szCs w:val="28"/>
        </w:rPr>
      </w:pPr>
      <w:r w:rsidRPr="008D40FE">
        <w:rPr>
          <w:b/>
          <w:sz w:val="28"/>
          <w:szCs w:val="28"/>
        </w:rPr>
        <w:t>ГБОУ ДПО ИПК РО РИ</w:t>
      </w:r>
    </w:p>
    <w:p w:rsidR="00FE2D9B" w:rsidRDefault="00FE2D9B" w:rsidP="00FE2D9B">
      <w:pPr>
        <w:ind w:right="-284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40"/>
        <w:gridCol w:w="2977"/>
        <w:gridCol w:w="5244"/>
      </w:tblGrid>
      <w:tr w:rsidR="00FE2D9B" w:rsidTr="00FE2D9B">
        <w:tc>
          <w:tcPr>
            <w:tcW w:w="396" w:type="dxa"/>
            <w:vMerge w:val="restart"/>
          </w:tcPr>
          <w:p w:rsidR="00FE2D9B" w:rsidRDefault="00FE2D9B" w:rsidP="00DB3FD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2440" w:type="dxa"/>
            <w:vMerge w:val="restart"/>
            <w:shd w:val="clear" w:color="auto" w:fill="auto"/>
          </w:tcPr>
          <w:p w:rsidR="00FE2D9B" w:rsidRDefault="00FE2D9B" w:rsidP="00DB3FD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Ответственный специалист, выполнявший анализ результатов ЕГЭ по предмету</w:t>
            </w:r>
          </w:p>
        </w:tc>
        <w:tc>
          <w:tcPr>
            <w:tcW w:w="2977" w:type="dxa"/>
            <w:shd w:val="clear" w:color="auto" w:fill="auto"/>
          </w:tcPr>
          <w:p w:rsidR="00FE2D9B" w:rsidRDefault="00FE2D9B" w:rsidP="00DB3FD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5244" w:type="dxa"/>
          </w:tcPr>
          <w:p w:rsidR="00FE2D9B" w:rsidRDefault="00FE2D9B" w:rsidP="00DB3FD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Принадлежность специалиста к региональной ПК по учебному предмету, региональным организациям развития образования, повышения квалификации работников образования (при наличии)</w:t>
            </w:r>
          </w:p>
        </w:tc>
      </w:tr>
      <w:tr w:rsidR="00FE2D9B" w:rsidTr="00FE2D9B">
        <w:trPr>
          <w:trHeight w:val="678"/>
        </w:trPr>
        <w:tc>
          <w:tcPr>
            <w:tcW w:w="396" w:type="dxa"/>
            <w:vMerge/>
          </w:tcPr>
          <w:p w:rsidR="00FE2D9B" w:rsidRDefault="00FE2D9B" w:rsidP="00DB3FD3">
            <w:pPr>
              <w:jc w:val="both"/>
              <w:rPr>
                <w:i/>
                <w:iCs/>
              </w:rPr>
            </w:pPr>
          </w:p>
        </w:tc>
        <w:tc>
          <w:tcPr>
            <w:tcW w:w="2440" w:type="dxa"/>
            <w:vMerge/>
            <w:shd w:val="clear" w:color="auto" w:fill="auto"/>
          </w:tcPr>
          <w:p w:rsidR="00FE2D9B" w:rsidRDefault="00FE2D9B" w:rsidP="00DB3FD3">
            <w:pPr>
              <w:jc w:val="both"/>
              <w:rPr>
                <w:i/>
                <w:iCs/>
              </w:rPr>
            </w:pPr>
          </w:p>
        </w:tc>
        <w:tc>
          <w:tcPr>
            <w:tcW w:w="2977" w:type="dxa"/>
            <w:shd w:val="clear" w:color="auto" w:fill="auto"/>
          </w:tcPr>
          <w:p w:rsidR="00FE2D9B" w:rsidRPr="00FE2D9B" w:rsidRDefault="00FE2D9B" w:rsidP="00DB3FD3">
            <w:pPr>
              <w:jc w:val="both"/>
              <w:rPr>
                <w:iCs/>
              </w:rPr>
            </w:pPr>
            <w:r w:rsidRPr="00FE2D9B">
              <w:rPr>
                <w:iCs/>
              </w:rPr>
              <w:t>Мержоева Любовь Яхьяевна, тьютор ЦНППМР</w:t>
            </w:r>
          </w:p>
        </w:tc>
        <w:tc>
          <w:tcPr>
            <w:tcW w:w="5244" w:type="dxa"/>
          </w:tcPr>
          <w:p w:rsidR="00FE2D9B" w:rsidRDefault="00FE2D9B" w:rsidP="00DB3FD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Старший эксперт</w:t>
            </w:r>
          </w:p>
        </w:tc>
      </w:tr>
    </w:tbl>
    <w:p w:rsidR="00FE2D9B" w:rsidRDefault="00FE2D9B" w:rsidP="00FE2D9B">
      <w:pPr>
        <w:rPr>
          <w:i/>
          <w:sz w:val="14"/>
        </w:rPr>
      </w:pPr>
    </w:p>
    <w:p w:rsidR="00E971C6" w:rsidRDefault="00E971C6">
      <w:bookmarkStart w:id="0" w:name="_GoBack"/>
      <w:bookmarkEnd w:id="0"/>
    </w:p>
    <w:sectPr w:rsidR="00E971C6">
      <w:footerReference w:type="default" r:id="rId20"/>
      <w:pgSz w:w="11906" w:h="16838"/>
      <w:pgMar w:top="709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EA" w:rsidRDefault="00C525EA">
      <w:r>
        <w:separator/>
      </w:r>
    </w:p>
  </w:endnote>
  <w:endnote w:type="continuationSeparator" w:id="0">
    <w:p w:rsidR="00C525EA" w:rsidRDefault="00C5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Cambria"/>
    <w:charset w:val="00"/>
    <w:family w:val="roman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5EA" w:rsidRDefault="00C525EA">
    <w:pPr>
      <w:pStyle w:val="af4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FE2D9B">
      <w:rPr>
        <w:rFonts w:ascii="Times New Roman" w:hAnsi="Times New Roman"/>
        <w:noProof/>
        <w:sz w:val="24"/>
      </w:rPr>
      <w:t>19</w:t>
    </w:r>
    <w:r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EA" w:rsidRDefault="00C525EA">
      <w:r>
        <w:separator/>
      </w:r>
    </w:p>
  </w:footnote>
  <w:footnote w:type="continuationSeparator" w:id="0">
    <w:p w:rsidR="00C525EA" w:rsidRDefault="00C525EA">
      <w:r>
        <w:continuationSeparator/>
      </w:r>
    </w:p>
  </w:footnote>
  <w:footnote w:id="1">
    <w:p w:rsidR="00C525EA" w:rsidRDefault="00C525EA">
      <w:pPr>
        <w:pStyle w:val="ae"/>
        <w:tabs>
          <w:tab w:val="left" w:pos="8364"/>
        </w:tabs>
        <w:jc w:val="both"/>
        <w:rPr>
          <w:rFonts w:ascii="Times New Roman" w:hAnsi="Times New Roman"/>
          <w:sz w:val="22"/>
          <w:szCs w:val="22"/>
        </w:rPr>
      </w:pPr>
      <w:r>
        <w:rPr>
          <w:rStyle w:val="a3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Вычисляется по формуле </w:t>
      </w:r>
      <m:oMath>
        <m:r>
          <w:rPr>
            <w:rFonts w:ascii="Cambria Math" w:hAnsi="Cambria Math"/>
            <w:sz w:val="22"/>
            <w:szCs w:val="22"/>
          </w:rPr>
          <m:t>p=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N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nm</m:t>
            </m:r>
          </m:den>
        </m:f>
        <m:r>
          <w:rPr>
            <w:rFonts w:ascii="Cambria Math" w:hAnsi="Cambria Math"/>
            <w:sz w:val="22"/>
            <w:szCs w:val="22"/>
          </w:rPr>
          <m:t>∙100%</m:t>
        </m:r>
      </m:oMath>
      <w:r>
        <w:rPr>
          <w:rFonts w:ascii="Times New Roman" w:hAnsi="Times New Roman"/>
          <w:sz w:val="22"/>
          <w:szCs w:val="22"/>
        </w:rPr>
        <w:t xml:space="preserve">, где </w:t>
      </w:r>
      <w:r>
        <w:rPr>
          <w:rFonts w:ascii="Times New Roman" w:hAnsi="Times New Roman"/>
          <w:sz w:val="22"/>
          <w:szCs w:val="22"/>
          <w:lang w:val="en-US"/>
        </w:rPr>
        <w:t>N</w:t>
      </w:r>
      <w:r>
        <w:rPr>
          <w:rFonts w:ascii="Times New Roman" w:hAnsi="Times New Roman"/>
          <w:sz w:val="22"/>
          <w:szCs w:val="22"/>
        </w:rPr>
        <w:t xml:space="preserve"> – сумма первичных баллов, полученных всеми участниками группы за выполнение задания, </w:t>
      </w:r>
      <w:r>
        <w:rPr>
          <w:rFonts w:ascii="Times New Roman" w:hAnsi="Times New Roman"/>
          <w:sz w:val="22"/>
          <w:szCs w:val="22"/>
          <w:lang w:val="en-US"/>
        </w:rPr>
        <w:t>n</w:t>
      </w:r>
      <w:r>
        <w:rPr>
          <w:rFonts w:ascii="Times New Roman" w:hAnsi="Times New Roman"/>
          <w:sz w:val="22"/>
          <w:szCs w:val="22"/>
        </w:rPr>
        <w:t xml:space="preserve"> – количество участников в группе, </w:t>
      </w:r>
      <w:r>
        <w:rPr>
          <w:rFonts w:ascii="Times New Roman" w:hAnsi="Times New Roman"/>
          <w:sz w:val="22"/>
          <w:szCs w:val="22"/>
          <w:lang w:val="en-US"/>
        </w:rPr>
        <w:t>m</w:t>
      </w:r>
      <w:r>
        <w:rPr>
          <w:rFonts w:ascii="Times New Roman" w:hAnsi="Times New Roman"/>
          <w:sz w:val="22"/>
          <w:szCs w:val="22"/>
        </w:rPr>
        <w:t xml:space="preserve"> – максимальный первичный балл за задание.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279205"/>
    <w:multiLevelType w:val="singleLevel"/>
    <w:tmpl w:val="F1279205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F584ABB"/>
    <w:multiLevelType w:val="multilevel"/>
    <w:tmpl w:val="0F584ABB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223B43"/>
    <w:multiLevelType w:val="multilevel"/>
    <w:tmpl w:val="E2103E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29166762"/>
    <w:multiLevelType w:val="multilevel"/>
    <w:tmpl w:val="B1BE38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29751BE8"/>
    <w:multiLevelType w:val="multilevel"/>
    <w:tmpl w:val="29751BE8"/>
    <w:lvl w:ilvl="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E570482"/>
    <w:multiLevelType w:val="multilevel"/>
    <w:tmpl w:val="208869B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EB04B9A"/>
    <w:multiLevelType w:val="multilevel"/>
    <w:tmpl w:val="B6DEE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1D622FE"/>
    <w:multiLevelType w:val="multilevel"/>
    <w:tmpl w:val="31D62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342BBCA"/>
    <w:multiLevelType w:val="singleLevel"/>
    <w:tmpl w:val="4342BBCA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5D38035A"/>
    <w:multiLevelType w:val="multilevel"/>
    <w:tmpl w:val="5D38035A"/>
    <w:lvl w:ilvl="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6D5F16C9"/>
    <w:multiLevelType w:val="multilevel"/>
    <w:tmpl w:val="6D5F16C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B444080"/>
    <w:multiLevelType w:val="multilevel"/>
    <w:tmpl w:val="7B4440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C16E8"/>
    <w:rsid w:val="000D0D9B"/>
    <w:rsid w:val="000D30A2"/>
    <w:rsid w:val="000E13E6"/>
    <w:rsid w:val="000E6D5D"/>
    <w:rsid w:val="000E718E"/>
    <w:rsid w:val="000F3B34"/>
    <w:rsid w:val="00107F57"/>
    <w:rsid w:val="001116A5"/>
    <w:rsid w:val="001171AF"/>
    <w:rsid w:val="00124D4C"/>
    <w:rsid w:val="00124F3F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955EA"/>
    <w:rsid w:val="00196B29"/>
    <w:rsid w:val="001A50EB"/>
    <w:rsid w:val="001B14AE"/>
    <w:rsid w:val="001B2F07"/>
    <w:rsid w:val="001B44F4"/>
    <w:rsid w:val="001B6294"/>
    <w:rsid w:val="001B639B"/>
    <w:rsid w:val="001C11E0"/>
    <w:rsid w:val="001D31A5"/>
    <w:rsid w:val="001D623C"/>
    <w:rsid w:val="001E670C"/>
    <w:rsid w:val="001E7F9B"/>
    <w:rsid w:val="001F2549"/>
    <w:rsid w:val="00201B8D"/>
    <w:rsid w:val="00202452"/>
    <w:rsid w:val="00206E77"/>
    <w:rsid w:val="00211EBD"/>
    <w:rsid w:val="00213F4E"/>
    <w:rsid w:val="00214176"/>
    <w:rsid w:val="00220539"/>
    <w:rsid w:val="00222643"/>
    <w:rsid w:val="00226BA9"/>
    <w:rsid w:val="00241C13"/>
    <w:rsid w:val="00244A81"/>
    <w:rsid w:val="00245F52"/>
    <w:rsid w:val="002479AA"/>
    <w:rsid w:val="0025228F"/>
    <w:rsid w:val="00257F49"/>
    <w:rsid w:val="00262C87"/>
    <w:rsid w:val="002747E2"/>
    <w:rsid w:val="00276E91"/>
    <w:rsid w:val="00290841"/>
    <w:rsid w:val="0029227E"/>
    <w:rsid w:val="00293CED"/>
    <w:rsid w:val="002A19D5"/>
    <w:rsid w:val="002A2F7F"/>
    <w:rsid w:val="002B4243"/>
    <w:rsid w:val="002B7631"/>
    <w:rsid w:val="002C3327"/>
    <w:rsid w:val="002C59FF"/>
    <w:rsid w:val="002D3B50"/>
    <w:rsid w:val="002D77DC"/>
    <w:rsid w:val="002F4303"/>
    <w:rsid w:val="002F4737"/>
    <w:rsid w:val="002F51A3"/>
    <w:rsid w:val="002F54DF"/>
    <w:rsid w:val="003001AD"/>
    <w:rsid w:val="00301C93"/>
    <w:rsid w:val="00327C96"/>
    <w:rsid w:val="00332A77"/>
    <w:rsid w:val="0036693A"/>
    <w:rsid w:val="00372A80"/>
    <w:rsid w:val="003735F5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03C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3B41"/>
    <w:rsid w:val="00447158"/>
    <w:rsid w:val="0046211B"/>
    <w:rsid w:val="00462FB8"/>
    <w:rsid w:val="00466B40"/>
    <w:rsid w:val="00471CB0"/>
    <w:rsid w:val="004814BF"/>
    <w:rsid w:val="004829A6"/>
    <w:rsid w:val="00483E5B"/>
    <w:rsid w:val="00491998"/>
    <w:rsid w:val="004951BA"/>
    <w:rsid w:val="00497E75"/>
    <w:rsid w:val="004A11CA"/>
    <w:rsid w:val="004A1BA4"/>
    <w:rsid w:val="004A64AE"/>
    <w:rsid w:val="004B03CA"/>
    <w:rsid w:val="004B187A"/>
    <w:rsid w:val="004B7E61"/>
    <w:rsid w:val="004C30C7"/>
    <w:rsid w:val="004D5ABD"/>
    <w:rsid w:val="004E29A3"/>
    <w:rsid w:val="004E4157"/>
    <w:rsid w:val="004E6B9A"/>
    <w:rsid w:val="00501FAE"/>
    <w:rsid w:val="005060D9"/>
    <w:rsid w:val="00506A93"/>
    <w:rsid w:val="005129D6"/>
    <w:rsid w:val="00520DFB"/>
    <w:rsid w:val="00521524"/>
    <w:rsid w:val="00533526"/>
    <w:rsid w:val="00540DB2"/>
    <w:rsid w:val="00542F5B"/>
    <w:rsid w:val="00544654"/>
    <w:rsid w:val="00547255"/>
    <w:rsid w:val="00550D16"/>
    <w:rsid w:val="00551CCB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D4C53"/>
    <w:rsid w:val="005E780E"/>
    <w:rsid w:val="005F38EB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A1F"/>
    <w:rsid w:val="00644E7E"/>
    <w:rsid w:val="006475C4"/>
    <w:rsid w:val="00654BC4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2922"/>
    <w:rsid w:val="006D3CF0"/>
    <w:rsid w:val="006D5136"/>
    <w:rsid w:val="006E4BB8"/>
    <w:rsid w:val="006F1BCE"/>
    <w:rsid w:val="006F470F"/>
    <w:rsid w:val="006F67F1"/>
    <w:rsid w:val="00700B0B"/>
    <w:rsid w:val="00706E31"/>
    <w:rsid w:val="00715B99"/>
    <w:rsid w:val="0072075A"/>
    <w:rsid w:val="00721964"/>
    <w:rsid w:val="0073008A"/>
    <w:rsid w:val="007373EC"/>
    <w:rsid w:val="00740E47"/>
    <w:rsid w:val="0074122F"/>
    <w:rsid w:val="00744643"/>
    <w:rsid w:val="007451DD"/>
    <w:rsid w:val="00754C57"/>
    <w:rsid w:val="00755348"/>
    <w:rsid w:val="00756A4A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2C02"/>
    <w:rsid w:val="007A45B1"/>
    <w:rsid w:val="007A52A3"/>
    <w:rsid w:val="007B0619"/>
    <w:rsid w:val="007B0E21"/>
    <w:rsid w:val="007B586A"/>
    <w:rsid w:val="007C1772"/>
    <w:rsid w:val="007C2F63"/>
    <w:rsid w:val="007C39FB"/>
    <w:rsid w:val="007C3D18"/>
    <w:rsid w:val="007D0389"/>
    <w:rsid w:val="007E61D8"/>
    <w:rsid w:val="007E6C34"/>
    <w:rsid w:val="007E7065"/>
    <w:rsid w:val="007F4A50"/>
    <w:rsid w:val="007F5E19"/>
    <w:rsid w:val="00815666"/>
    <w:rsid w:val="00817FD2"/>
    <w:rsid w:val="00820B53"/>
    <w:rsid w:val="00821EC9"/>
    <w:rsid w:val="00825F34"/>
    <w:rsid w:val="00836E95"/>
    <w:rsid w:val="008411AE"/>
    <w:rsid w:val="00843FBC"/>
    <w:rsid w:val="008462D8"/>
    <w:rsid w:val="00847D70"/>
    <w:rsid w:val="008500E5"/>
    <w:rsid w:val="008531A6"/>
    <w:rsid w:val="0085794C"/>
    <w:rsid w:val="00860479"/>
    <w:rsid w:val="00862E75"/>
    <w:rsid w:val="00870F21"/>
    <w:rsid w:val="00871963"/>
    <w:rsid w:val="008753FA"/>
    <w:rsid w:val="00883485"/>
    <w:rsid w:val="00883B30"/>
    <w:rsid w:val="00887518"/>
    <w:rsid w:val="00887A22"/>
    <w:rsid w:val="008919F3"/>
    <w:rsid w:val="0089499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6724"/>
    <w:rsid w:val="00931ED4"/>
    <w:rsid w:val="00940FA6"/>
    <w:rsid w:val="0094223A"/>
    <w:rsid w:val="009475AC"/>
    <w:rsid w:val="0094789B"/>
    <w:rsid w:val="009522C8"/>
    <w:rsid w:val="0097741F"/>
    <w:rsid w:val="009A03B0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3E6E"/>
    <w:rsid w:val="00A263F5"/>
    <w:rsid w:val="00A269FE"/>
    <w:rsid w:val="00A343CC"/>
    <w:rsid w:val="00A349CE"/>
    <w:rsid w:val="00A51CB9"/>
    <w:rsid w:val="00A52ACF"/>
    <w:rsid w:val="00A67C9A"/>
    <w:rsid w:val="00A67D70"/>
    <w:rsid w:val="00A71C0B"/>
    <w:rsid w:val="00A745B7"/>
    <w:rsid w:val="00A803E1"/>
    <w:rsid w:val="00A82BB0"/>
    <w:rsid w:val="00A84C5A"/>
    <w:rsid w:val="00A9105A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360B5"/>
    <w:rsid w:val="00B46154"/>
    <w:rsid w:val="00B54349"/>
    <w:rsid w:val="00B57D31"/>
    <w:rsid w:val="00B62D54"/>
    <w:rsid w:val="00B70AB7"/>
    <w:rsid w:val="00B86ACD"/>
    <w:rsid w:val="00B90814"/>
    <w:rsid w:val="00B926B0"/>
    <w:rsid w:val="00B93E89"/>
    <w:rsid w:val="00B96BCB"/>
    <w:rsid w:val="00BA108C"/>
    <w:rsid w:val="00BC108D"/>
    <w:rsid w:val="00BC1C3B"/>
    <w:rsid w:val="00BC34DB"/>
    <w:rsid w:val="00BD48F6"/>
    <w:rsid w:val="00BE21B0"/>
    <w:rsid w:val="00BE5455"/>
    <w:rsid w:val="00BF36E1"/>
    <w:rsid w:val="00C03028"/>
    <w:rsid w:val="00C113C6"/>
    <w:rsid w:val="00C11728"/>
    <w:rsid w:val="00C1397D"/>
    <w:rsid w:val="00C30DD4"/>
    <w:rsid w:val="00C378EB"/>
    <w:rsid w:val="00C525EA"/>
    <w:rsid w:val="00C52947"/>
    <w:rsid w:val="00C541BA"/>
    <w:rsid w:val="00C546AC"/>
    <w:rsid w:val="00C60809"/>
    <w:rsid w:val="00C615DD"/>
    <w:rsid w:val="00C6180E"/>
    <w:rsid w:val="00C61998"/>
    <w:rsid w:val="00C6200E"/>
    <w:rsid w:val="00C81EB9"/>
    <w:rsid w:val="00C959DD"/>
    <w:rsid w:val="00CA3EB7"/>
    <w:rsid w:val="00CA77CE"/>
    <w:rsid w:val="00CA7D04"/>
    <w:rsid w:val="00CA7D6A"/>
    <w:rsid w:val="00CB220A"/>
    <w:rsid w:val="00CC1774"/>
    <w:rsid w:val="00CC63D7"/>
    <w:rsid w:val="00CC69B1"/>
    <w:rsid w:val="00CD3D62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647CC"/>
    <w:rsid w:val="00D65DF5"/>
    <w:rsid w:val="00D712FF"/>
    <w:rsid w:val="00D748E2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69B9"/>
    <w:rsid w:val="00E56CB8"/>
    <w:rsid w:val="00E61CEC"/>
    <w:rsid w:val="00E62E0B"/>
    <w:rsid w:val="00E67DE8"/>
    <w:rsid w:val="00E72A1D"/>
    <w:rsid w:val="00E834C6"/>
    <w:rsid w:val="00E8517F"/>
    <w:rsid w:val="00E874F7"/>
    <w:rsid w:val="00E91130"/>
    <w:rsid w:val="00E93FC6"/>
    <w:rsid w:val="00E971C6"/>
    <w:rsid w:val="00EA081B"/>
    <w:rsid w:val="00EA3912"/>
    <w:rsid w:val="00EA3D6F"/>
    <w:rsid w:val="00EA75F4"/>
    <w:rsid w:val="00EB2FE0"/>
    <w:rsid w:val="00ED03BA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43A9"/>
    <w:rsid w:val="00F27B19"/>
    <w:rsid w:val="00F33128"/>
    <w:rsid w:val="00F36DC1"/>
    <w:rsid w:val="00F561D2"/>
    <w:rsid w:val="00F579AB"/>
    <w:rsid w:val="00F57DA5"/>
    <w:rsid w:val="00F634F6"/>
    <w:rsid w:val="00F636E2"/>
    <w:rsid w:val="00F6429E"/>
    <w:rsid w:val="00F675DB"/>
    <w:rsid w:val="00F74972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9F5"/>
    <w:rsid w:val="00FC6BBF"/>
    <w:rsid w:val="00FD11DC"/>
    <w:rsid w:val="00FD4DEA"/>
    <w:rsid w:val="00FD6B8B"/>
    <w:rsid w:val="00FD6C07"/>
    <w:rsid w:val="00FE0D77"/>
    <w:rsid w:val="00FE2262"/>
    <w:rsid w:val="00FE2D9B"/>
    <w:rsid w:val="00FE3AF8"/>
    <w:rsid w:val="00FF2246"/>
    <w:rsid w:val="00FF4904"/>
    <w:rsid w:val="00FF53F6"/>
    <w:rsid w:val="00FF71FA"/>
    <w:rsid w:val="2E0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95D4"/>
  <w15:docId w15:val="{6A1433B2-EDC3-47FE-9768-233E2BC8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pPr>
      <w:spacing w:after="200"/>
      <w:jc w:val="right"/>
    </w:pPr>
    <w:rPr>
      <w:bCs/>
      <w:i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footnote text"/>
    <w:basedOn w:val="a"/>
    <w:link w:val="af"/>
    <w:uiPriority w:val="99"/>
    <w:unhideWhenUsed/>
    <w:rPr>
      <w:rFonts w:ascii="Calibri" w:hAnsi="Calibri"/>
      <w:sz w:val="20"/>
      <w:szCs w:val="20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paragraph" w:styleId="af2">
    <w:name w:val="Title"/>
    <w:basedOn w:val="a"/>
    <w:next w:val="a"/>
    <w:link w:val="af3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paragraph" w:styleId="af6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eastAsia="Times New Roman"/>
    </w:rPr>
  </w:style>
  <w:style w:type="table" w:styleId="af7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qFormat/>
    <w:rPr>
      <w:rFonts w:ascii="Cambria" w:eastAsia="SimSun" w:hAnsi="Cambria"/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Pr>
      <w:rFonts w:ascii="Cambria" w:eastAsia="SimSun" w:hAnsi="Cambria"/>
      <w:b/>
      <w:bCs/>
      <w:sz w:val="28"/>
      <w:szCs w:val="24"/>
    </w:rPr>
  </w:style>
  <w:style w:type="paragraph" w:styleId="af8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">
    <w:name w:val="Текст сноски Знак"/>
    <w:link w:val="ae"/>
    <w:uiPriority w:val="99"/>
    <w:qFormat/>
    <w:rPr>
      <w:rFonts w:ascii="Calibri" w:eastAsia="Calibri" w:hAnsi="Calibri" w:cs="Times New Roman"/>
      <w:sz w:val="20"/>
      <w:szCs w:val="20"/>
    </w:rPr>
  </w:style>
  <w:style w:type="character" w:customStyle="1" w:styleId="af3">
    <w:name w:val="Заголовок Знак"/>
    <w:link w:val="af2"/>
    <w:uiPriority w:val="10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character" w:customStyle="1" w:styleId="af5">
    <w:name w:val="Нижний колонтитул Знак"/>
    <w:link w:val="af4"/>
    <w:uiPriority w:val="99"/>
    <w:rPr>
      <w:rFonts w:ascii="Calibri" w:eastAsia="Calibri" w:hAnsi="Calibri" w:cs="Times New Roman"/>
    </w:rPr>
  </w:style>
  <w:style w:type="character" w:customStyle="1" w:styleId="a8">
    <w:name w:val="Текст выноски Знак"/>
    <w:link w:val="a7"/>
    <w:uiPriority w:val="99"/>
    <w:semiHidden/>
    <w:rPr>
      <w:rFonts w:ascii="Tahoma" w:hAnsi="Tahoma" w:cs="Tahoma"/>
      <w:sz w:val="16"/>
      <w:szCs w:val="16"/>
      <w:lang w:eastAsia="ru-RU"/>
    </w:rPr>
  </w:style>
  <w:style w:type="character" w:customStyle="1" w:styleId="af1">
    <w:name w:val="Верхний колонтитул Знак"/>
    <w:link w:val="af0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link w:val="aa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link w:val="ac"/>
    <w:uiPriority w:val="99"/>
    <w:semiHidden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ilfuvd">
    <w:name w:val="ilfuvd"/>
    <w:basedOn w:val="a0"/>
  </w:style>
  <w:style w:type="character" w:customStyle="1" w:styleId="20">
    <w:name w:val="Заголовок 2 Знак"/>
    <w:link w:val="2"/>
    <w:uiPriority w:val="9"/>
    <w:rPr>
      <w:rFonts w:ascii="Cambria" w:eastAsia="SimSun" w:hAnsi="Cambria"/>
      <w:color w:val="365F91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mbria" w:eastAsia="SimSun" w:hAnsi="Cambria"/>
      <w:i/>
      <w:iCs/>
      <w:color w:val="365F9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Pr>
      <w:rFonts w:ascii="Cambria" w:eastAsia="SimSun" w:hAnsi="Cambria"/>
      <w:color w:val="365F9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Pr>
      <w:rFonts w:ascii="Cambria" w:eastAsia="SimSun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Pr>
      <w:rFonts w:ascii="Cambria" w:eastAsia="SimSun" w:hAnsi="Cambria"/>
      <w:i/>
      <w:iCs/>
      <w:color w:val="243F6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Pr>
      <w:rFonts w:ascii="Cambria" w:eastAsia="SimSun" w:hAnsi="Cambria"/>
      <w:color w:val="272727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Pr>
      <w:rFonts w:ascii="Cambria" w:eastAsia="SimSun" w:hAnsi="Cambria"/>
      <w:i/>
      <w:iCs/>
      <w:color w:val="272727"/>
      <w:sz w:val="21"/>
      <w:szCs w:val="21"/>
    </w:rPr>
  </w:style>
  <w:style w:type="paragraph" w:customStyle="1" w:styleId="11">
    <w:name w:val="Рецензия1"/>
    <w:hidden/>
    <w:uiPriority w:val="99"/>
    <w:semiHidden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Pr>
      <w:color w:val="808080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rFonts w:eastAsia="Times New Roman"/>
    </w:rPr>
  </w:style>
  <w:style w:type="character" w:styleId="afa">
    <w:name w:val="Hyperlink"/>
    <w:basedOn w:val="a0"/>
    <w:uiPriority w:val="99"/>
    <w:unhideWhenUsed/>
    <w:rsid w:val="00512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ipkro.riobr.ru/analiz-rezultatov-eg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192E3-3597-4DF0-A663-95746E78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лидья точиева</cp:lastModifiedBy>
  <cp:revision>8</cp:revision>
  <cp:lastPrinted>2021-06-03T06:54:00Z</cp:lastPrinted>
  <dcterms:created xsi:type="dcterms:W3CDTF">2022-06-09T13:03:00Z</dcterms:created>
  <dcterms:modified xsi:type="dcterms:W3CDTF">2022-08-30T20:53:00Z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988A9E2CEA6B43D6B07C17C6CA021885</vt:lpwstr>
  </property>
</Properties>
</file>